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6F" w:rsidRDefault="00A5126F" w:rsidP="00A5126F">
      <w:pPr>
        <w:pStyle w:val="a3"/>
        <w:ind w:firstLine="0"/>
        <w:jc w:val="center"/>
        <w:rPr>
          <w:b/>
          <w:bCs/>
          <w:sz w:val="48"/>
          <w:szCs w:val="28"/>
        </w:rPr>
      </w:pPr>
      <w:bookmarkStart w:id="0" w:name="_GoBack"/>
      <w:bookmarkEnd w:id="0"/>
      <w:r>
        <w:rPr>
          <w:b/>
          <w:bCs/>
          <w:sz w:val="48"/>
          <w:szCs w:val="28"/>
        </w:rPr>
        <w:t>Р Е Ш Е Н И Е</w:t>
      </w:r>
    </w:p>
    <w:p w:rsidR="00A5126F" w:rsidRDefault="00A5126F" w:rsidP="00A5126F">
      <w:pPr>
        <w:pStyle w:val="a3"/>
        <w:ind w:firstLine="0"/>
        <w:jc w:val="center"/>
        <w:rPr>
          <w:b/>
          <w:bCs/>
          <w:sz w:val="40"/>
          <w:szCs w:val="28"/>
        </w:rPr>
      </w:pPr>
    </w:p>
    <w:p w:rsidR="00A5126F" w:rsidRDefault="00A5126F" w:rsidP="00A5126F">
      <w:pPr>
        <w:pStyle w:val="a3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СОВЕТА ДЕПУТАТОВ</w:t>
      </w:r>
    </w:p>
    <w:p w:rsidR="00A5126F" w:rsidRDefault="00A5126F" w:rsidP="00A5126F">
      <w:pPr>
        <w:pStyle w:val="a3"/>
        <w:ind w:firstLine="0"/>
        <w:jc w:val="center"/>
        <w:rPr>
          <w:sz w:val="36"/>
          <w:szCs w:val="28"/>
        </w:rPr>
      </w:pPr>
      <w:r>
        <w:rPr>
          <w:sz w:val="36"/>
          <w:szCs w:val="28"/>
        </w:rPr>
        <w:t>АТЯШЕВСКОГО МУНИЦИПАЛЬНОГО РАЙОНА</w:t>
      </w:r>
    </w:p>
    <w:p w:rsidR="00A5126F" w:rsidRDefault="00A5126F" w:rsidP="00A5126F">
      <w:pPr>
        <w:pStyle w:val="a3"/>
        <w:ind w:firstLine="0"/>
        <w:jc w:val="center"/>
        <w:rPr>
          <w:sz w:val="36"/>
          <w:szCs w:val="28"/>
        </w:rPr>
      </w:pPr>
    </w:p>
    <w:p w:rsidR="00A5126F" w:rsidRPr="00182E3E" w:rsidRDefault="00182E3E" w:rsidP="00182E3E">
      <w:pPr>
        <w:pStyle w:val="a3"/>
        <w:tabs>
          <w:tab w:val="left" w:pos="193"/>
          <w:tab w:val="left" w:pos="7608"/>
        </w:tabs>
        <w:ind w:firstLine="0"/>
        <w:jc w:val="left"/>
        <w:rPr>
          <w:sz w:val="36"/>
          <w:szCs w:val="28"/>
        </w:rPr>
      </w:pPr>
      <w:r>
        <w:rPr>
          <w:sz w:val="36"/>
          <w:szCs w:val="28"/>
        </w:rPr>
        <w:tab/>
      </w:r>
      <w:r w:rsidRPr="0016291E">
        <w:rPr>
          <w:sz w:val="36"/>
          <w:szCs w:val="28"/>
        </w:rPr>
        <w:t>25</w:t>
      </w:r>
      <w:r>
        <w:rPr>
          <w:sz w:val="36"/>
          <w:szCs w:val="28"/>
        </w:rPr>
        <w:t>.</w:t>
      </w:r>
      <w:r w:rsidRPr="0016291E">
        <w:rPr>
          <w:sz w:val="36"/>
          <w:szCs w:val="28"/>
        </w:rPr>
        <w:t>12</w:t>
      </w:r>
      <w:r>
        <w:rPr>
          <w:sz w:val="36"/>
          <w:szCs w:val="28"/>
        </w:rPr>
        <w:t>.</w:t>
      </w:r>
      <w:r w:rsidRPr="0016291E">
        <w:rPr>
          <w:sz w:val="36"/>
          <w:szCs w:val="28"/>
        </w:rPr>
        <w:t>2019</w:t>
      </w:r>
      <w:r w:rsidRPr="0016291E">
        <w:rPr>
          <w:sz w:val="36"/>
          <w:szCs w:val="28"/>
        </w:rPr>
        <w:tab/>
      </w:r>
      <w:r>
        <w:rPr>
          <w:sz w:val="36"/>
          <w:szCs w:val="28"/>
        </w:rPr>
        <w:t>94</w:t>
      </w:r>
    </w:p>
    <w:p w:rsidR="00A5126F" w:rsidRDefault="00A5126F" w:rsidP="00A5126F">
      <w:pPr>
        <w:pStyle w:val="a3"/>
        <w:ind w:firstLine="0"/>
        <w:jc w:val="center"/>
        <w:rPr>
          <w:sz w:val="36"/>
          <w:szCs w:val="28"/>
        </w:rPr>
      </w:pPr>
    </w:p>
    <w:p w:rsidR="00A5126F" w:rsidRDefault="00A5126F" w:rsidP="00A5126F">
      <w:pPr>
        <w:pStyle w:val="a3"/>
        <w:tabs>
          <w:tab w:val="left" w:pos="210"/>
          <w:tab w:val="center" w:pos="4677"/>
        </w:tabs>
        <w:ind w:firstLine="0"/>
        <w:jc w:val="left"/>
        <w:rPr>
          <w:szCs w:val="28"/>
        </w:rPr>
      </w:pPr>
      <w:r>
        <w:rPr>
          <w:sz w:val="36"/>
          <w:szCs w:val="28"/>
        </w:rPr>
        <w:tab/>
      </w:r>
      <w:r>
        <w:rPr>
          <w:sz w:val="36"/>
          <w:szCs w:val="28"/>
        </w:rPr>
        <w:tab/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158750</wp:posOffset>
                </wp:positionV>
                <wp:extent cx="1714500" cy="0"/>
                <wp:effectExtent l="13335" t="8255" r="5715" b="107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DEA80F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2.5pt" to="450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ZVL9wEAAJkDAAAOAAAAZHJzL2Uyb0RvYy54bWysU0uOEzEQ3SNxB8t70p2I8GmlM4sMw2aA&#10;SDMcwLHdaQu3y7KddLID1kg5AleYBUgjDXCG7htRdj4MsEP0wirX57neq+rJ2abRZC2dV2BKOhzk&#10;lEjDQSizLOnb64tHzyjxgRnBNBhZ0q309Gz68MGktYUcQQ1aSEcQxPiitSWtQ7BFlnley4b5AVhp&#10;MFiBa1jAq1tmwrEW0RudjfL8SdaCE9YBl96j93wfpNOEX1WShzdV5WUguqTYW0inS+cintl0woql&#10;Y7ZW/NAG+4cuGqYMPnqCOmeBkZVTf0E1ijvwUIUBhyaDqlJcJg7IZpj/weaqZlYmLiiOtyeZ/P+D&#10;5a/Xc0eUKOmIEsMaHFH3uX/f77pv3U2/I/2H7kf3tfvS3Xbfu9v+I9p3/Se0Y7C7O7h3ZBSVbK0v&#10;EHBm5i5qwTfmyl4Cf+eJgVnNzFImRtdbi88MY0X2W0m8eIv9LNpXIDCHrQIkWTeVayIkCkY2aXrb&#10;0/TkJhCOzuHT4eNxjkPmx1jGimOhdT68lNCQaJRUKxOFZQVbX/oQG2HFMSW6DVwordNyaEPakj4f&#10;j8apwINWIgZjmnfLxUw7smZxvdKXWGHkfpqDlREJrJZMvDjYgSm9t/FxbQ5iRP57JRcgtnN3FAnn&#10;n7o87GpcsPv3VP3rj5r+BAAA//8DAFBLAwQUAAYACAAAACEAtjgn69wAAAAJAQAADwAAAGRycy9k&#10;b3ducmV2LnhtbEyPQU/DMAyF70j8h8hIXCaW0IkJStMJAb1xYYC4eo1pKxqna7Kt8OvxxAFOlp+f&#10;nr9XrCbfqz2NsQts4XJuQBHXwXXcWHh9qS6uQcWE7LAPTBa+KMKqPD0pMHfhwM+0X6dGSQjHHC20&#10;KQ251rFuyWOch4FYbh9h9JhkHRvtRjxIuO91ZsxSe+xYPrQ40H1L9ed65y3E6o221fesnpn3RRMo&#10;2z48PaK152fT3S2oRFP6M8MRX9ChFKZN2LGLqrewXBjpkixkVzLFcGOOwuZX0GWh/zcofwAAAP//&#10;AwBQSwECLQAUAAYACAAAACEAtoM4kv4AAADhAQAAEwAAAAAAAAAAAAAAAAAAAAAAW0NvbnRlbnRf&#10;VHlwZXNdLnhtbFBLAQItABQABgAIAAAAIQA4/SH/1gAAAJQBAAALAAAAAAAAAAAAAAAAAC8BAABf&#10;cmVscy8ucmVsc1BLAQItABQABgAIAAAAIQBkmZVL9wEAAJkDAAAOAAAAAAAAAAAAAAAAAC4CAABk&#10;cnMvZTJvRG9jLnhtbFBLAQItABQABgAIAAAAIQC2OCfr3AAAAAkBAAAPAAAAAAAAAAAAAAAAAFEE&#10;AABkcnMvZG93bnJldi54bWxQSwUGAAAAAAQABADzAAAAWgUAAAAA&#10;"/>
            </w:pict>
          </mc:Fallback>
        </mc:AlternateContent>
      </w: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1828800" cy="0"/>
                <wp:effectExtent l="13335" t="8255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4DB01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5pt" to="2in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0c9wEAAJkDAAAOAAAAZHJzL2Uyb0RvYy54bWysU82O0zAQviPxDpbvNGmlRSVquocuy2WB&#10;Srs8gGs7jYXjsWy3aW/AGamPwCtwAGmlBZ4heSPG7g+7yw2RgzWe+ebzzDeTyfmm0WQtnVdgSjoc&#10;5JRIw0Eosyzpu5vLZ2NKfGBGMA1GlnQrPT2fPn0yaW0hR1CDFtIRJDG+aG1J6xBskWWe17JhfgBW&#10;GgxW4BoW8OqWmXCsRfZGZ6M8f5614IR1wKX36L3YB+k08VeV5OFtVXkZiC4p1hbS6dK5iGc2nbBi&#10;6ZitFT+Uwf6hioYpg4+eqC5YYGTl1F9UjeIOPFRhwKHJoKoUl6kH7GaYP+rmumZWpl5QHG9PMvn/&#10;R8vfrOeOKIGzo8SwBkfUfek/9LvuR/e135H+Y/er+9596267n91t/wntu/4z2jHY3R3cOzKMSrbW&#10;F0g4M3MXteAbc22vgL/3xMCsZmYpU0c3W4vPpIzsQUq8eIv1LNrXIBDDVgGSrJvKNZESBSObNL3t&#10;aXpyEwhH53A8Go9zHDI/xjJWHBOt8+GVhIZEo6RamSgsK9j6ygcsHaFHSHQbuFRap+XQhrQlfXE2&#10;OksJHrQSMRhh3i0XM+3ImsX1Sl/UAckewBysjEhktWTi5cEOTOm9jXhtMO3Y/17JBYjt3EW66Mf5&#10;J+LDrsYFu39PqD9/1PQ3AAAA//8DAFBLAwQUAAYACAAAACEAc4ohYdoAAAAGAQAADwAAAGRycy9k&#10;b3ducmV2LnhtbEyPT0/DMAzF70j7DpEncZlYShFTVZpOCOiNC9sQV68xbUXjdE22FT49Rhzg5D/P&#10;eu/nYj25Xp1oDJ1nA9fLBBRx7W3HjYHdtrrKQIWIbLH3TAY+KcC6nF0UmFt/5hc6bWKjxIRDjgba&#10;GIdc61C35DAs/UAs2rsfHUYZx0bbEc9i7nqdJslKO+xYEloc6KGl+mNzdAZC9UqH6mtRL5K3m8ZT&#10;enh8fkJjLufT/R2oSFP8O4YffEGHUpj2/sg2qN6APBINpLdSRU2zTJr970KXhf6PX34DAAD//wMA&#10;UEsBAi0AFAAGAAgAAAAhALaDOJL+AAAA4QEAABMAAAAAAAAAAAAAAAAAAAAAAFtDb250ZW50X1R5&#10;cGVzXS54bWxQSwECLQAUAAYACAAAACEAOP0h/9YAAACUAQAACwAAAAAAAAAAAAAAAAAvAQAAX3Jl&#10;bHMvLnJlbHNQSwECLQAUAAYACAAAACEAzDJdHPcBAACZAwAADgAAAAAAAAAAAAAAAAAuAgAAZHJz&#10;L2Uyb0RvYy54bWxQSwECLQAUAAYACAAAACEAc4ohYdoAAAAGAQAADwAAAAAAAAAAAAAAAABRBAAA&#10;ZHJzL2Rvd25yZXYueG1sUEsFBgAAAAAEAAQA8wAAAFgFAAAAAA==&#10;"/>
            </w:pict>
          </mc:Fallback>
        </mc:AlternateContent>
      </w:r>
      <w:r>
        <w:rPr>
          <w:sz w:val="36"/>
          <w:szCs w:val="28"/>
        </w:rPr>
        <w:t xml:space="preserve">                              </w:t>
      </w:r>
      <w:r>
        <w:rPr>
          <w:szCs w:val="28"/>
        </w:rPr>
        <w:t>№</w:t>
      </w:r>
    </w:p>
    <w:p w:rsidR="00A5126F" w:rsidRDefault="00A5126F" w:rsidP="00A5126F">
      <w:pPr>
        <w:pStyle w:val="a3"/>
        <w:ind w:firstLine="0"/>
        <w:jc w:val="center"/>
        <w:rPr>
          <w:sz w:val="24"/>
          <w:szCs w:val="28"/>
        </w:rPr>
      </w:pPr>
    </w:p>
    <w:p w:rsidR="00A5126F" w:rsidRDefault="00A5126F" w:rsidP="00A5126F">
      <w:pPr>
        <w:pStyle w:val="a3"/>
        <w:ind w:firstLine="0"/>
        <w:jc w:val="center"/>
        <w:rPr>
          <w:sz w:val="24"/>
          <w:szCs w:val="28"/>
        </w:rPr>
      </w:pPr>
      <w:r>
        <w:rPr>
          <w:sz w:val="24"/>
          <w:szCs w:val="28"/>
        </w:rPr>
        <w:t>рп. Атяшево</w:t>
      </w:r>
    </w:p>
    <w:p w:rsidR="00AF4623" w:rsidRDefault="00AF4623">
      <w:pPr>
        <w:pStyle w:val="ConsPlusTitle"/>
        <w:jc w:val="both"/>
      </w:pPr>
    </w:p>
    <w:p w:rsidR="00A5126F" w:rsidRPr="005B33EA" w:rsidRDefault="00A5126F" w:rsidP="00A512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установлении расходного обязательства Атяшевского муниципального района по предоставлению бюджетам поселений Атяшевского муниципального района субсидий, выплачиваемых в зависимости от выполнения социально - экономических показателей</w:t>
      </w:r>
    </w:p>
    <w:p w:rsidR="00AF4623" w:rsidRDefault="00AF4623">
      <w:pPr>
        <w:pStyle w:val="ConsPlusNormal"/>
        <w:jc w:val="both"/>
      </w:pPr>
    </w:p>
    <w:p w:rsidR="00A5126F" w:rsidRDefault="00AF4623" w:rsidP="00A5126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126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A5126F">
          <w:rPr>
            <w:rFonts w:ascii="Times New Roman" w:hAnsi="Times New Roman" w:cs="Times New Roman"/>
            <w:color w:val="0000FF"/>
            <w:sz w:val="28"/>
            <w:szCs w:val="28"/>
          </w:rPr>
          <w:t xml:space="preserve">статьей </w:t>
        </w:r>
      </w:hyperlink>
      <w:r w:rsidR="00A5126F" w:rsidRPr="00A5126F">
        <w:rPr>
          <w:rFonts w:ascii="Times New Roman" w:hAnsi="Times New Roman" w:cs="Times New Roman"/>
          <w:color w:val="0000FF"/>
          <w:sz w:val="28"/>
          <w:szCs w:val="28"/>
        </w:rPr>
        <w:t>86</w:t>
      </w:r>
      <w:r w:rsidRPr="00A5126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A5126F" w:rsidRPr="00A5126F">
        <w:rPr>
          <w:rFonts w:ascii="Times New Roman" w:hAnsi="Times New Roman" w:cs="Times New Roman"/>
          <w:sz w:val="28"/>
          <w:szCs w:val="28"/>
        </w:rPr>
        <w:t xml:space="preserve">Уставом Атяшевского муниципального района </w:t>
      </w:r>
      <w:r w:rsidR="00A5126F" w:rsidRPr="00A5126F">
        <w:rPr>
          <w:rFonts w:ascii="Times New Roman" w:hAnsi="Times New Roman" w:cs="Times New Roman"/>
          <w:bCs/>
          <w:sz w:val="28"/>
          <w:szCs w:val="28"/>
        </w:rPr>
        <w:t xml:space="preserve">и на основании статьи 8  Решения Совета депутатов Атяшевского муниципального района  от </w:t>
      </w:r>
      <w:r w:rsidR="0015336B">
        <w:rPr>
          <w:rFonts w:ascii="Times New Roman" w:hAnsi="Times New Roman" w:cs="Times New Roman"/>
          <w:bCs/>
          <w:sz w:val="28"/>
          <w:szCs w:val="28"/>
        </w:rPr>
        <w:t>25</w:t>
      </w:r>
      <w:r w:rsidR="00A5126F" w:rsidRPr="00A5126F">
        <w:rPr>
          <w:rFonts w:ascii="Times New Roman" w:hAnsi="Times New Roman" w:cs="Times New Roman"/>
          <w:bCs/>
          <w:sz w:val="28"/>
          <w:szCs w:val="28"/>
        </w:rPr>
        <w:t xml:space="preserve"> декабря 2019 года N</w:t>
      </w:r>
      <w:r w:rsidR="0015336B">
        <w:rPr>
          <w:rFonts w:ascii="Times New Roman" w:hAnsi="Times New Roman" w:cs="Times New Roman"/>
          <w:bCs/>
          <w:sz w:val="28"/>
          <w:szCs w:val="28"/>
        </w:rPr>
        <w:t>92</w:t>
      </w:r>
      <w:r w:rsidR="00A5126F" w:rsidRPr="00A5126F">
        <w:rPr>
          <w:rFonts w:ascii="Times New Roman" w:hAnsi="Times New Roman" w:cs="Times New Roman"/>
          <w:bCs/>
          <w:sz w:val="28"/>
          <w:szCs w:val="28"/>
        </w:rPr>
        <w:t xml:space="preserve"> «О бюджете</w:t>
      </w:r>
      <w:r w:rsidR="00A5126F">
        <w:rPr>
          <w:rFonts w:ascii="Times New Roman" w:hAnsi="Times New Roman" w:cs="Times New Roman"/>
          <w:bCs/>
          <w:sz w:val="28"/>
          <w:szCs w:val="28"/>
        </w:rPr>
        <w:t xml:space="preserve"> Атяшевского </w:t>
      </w:r>
      <w:r w:rsidR="00A5126F" w:rsidRPr="005B33EA">
        <w:rPr>
          <w:rFonts w:ascii="Times New Roman" w:hAnsi="Times New Roman" w:cs="Times New Roman"/>
          <w:bCs/>
          <w:sz w:val="28"/>
          <w:szCs w:val="28"/>
        </w:rPr>
        <w:t>муниципального района на 20</w:t>
      </w:r>
      <w:r w:rsidR="00A5126F">
        <w:rPr>
          <w:rFonts w:ascii="Times New Roman" w:hAnsi="Times New Roman" w:cs="Times New Roman"/>
          <w:bCs/>
          <w:sz w:val="28"/>
          <w:szCs w:val="28"/>
        </w:rPr>
        <w:t>20</w:t>
      </w:r>
      <w:r w:rsidR="00A5126F" w:rsidRPr="005B33EA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202</w:t>
      </w:r>
      <w:r w:rsidR="00A5126F">
        <w:rPr>
          <w:rFonts w:ascii="Times New Roman" w:hAnsi="Times New Roman" w:cs="Times New Roman"/>
          <w:bCs/>
          <w:sz w:val="28"/>
          <w:szCs w:val="28"/>
        </w:rPr>
        <w:t>1</w:t>
      </w:r>
      <w:r w:rsidR="00A5126F" w:rsidRPr="005B33EA">
        <w:rPr>
          <w:rFonts w:ascii="Times New Roman" w:hAnsi="Times New Roman" w:cs="Times New Roman"/>
          <w:bCs/>
          <w:sz w:val="28"/>
          <w:szCs w:val="28"/>
        </w:rPr>
        <w:t xml:space="preserve"> и 202</w:t>
      </w:r>
      <w:r w:rsidR="00A5126F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A5126F" w:rsidRPr="005B33EA">
        <w:rPr>
          <w:rFonts w:ascii="Times New Roman" w:hAnsi="Times New Roman" w:cs="Times New Roman"/>
          <w:bCs/>
          <w:sz w:val="28"/>
          <w:szCs w:val="28"/>
        </w:rPr>
        <w:t>годов</w:t>
      </w:r>
      <w:r w:rsidR="00A5126F">
        <w:rPr>
          <w:rFonts w:ascii="Times New Roman" w:hAnsi="Times New Roman" w:cs="Times New Roman"/>
          <w:bCs/>
          <w:sz w:val="28"/>
          <w:szCs w:val="28"/>
        </w:rPr>
        <w:t>»</w:t>
      </w:r>
      <w:r w:rsidR="00A5126F" w:rsidRPr="005B33EA">
        <w:rPr>
          <w:rFonts w:ascii="Times New Roman" w:hAnsi="Times New Roman" w:cs="Times New Roman"/>
          <w:bCs/>
          <w:sz w:val="28"/>
          <w:szCs w:val="28"/>
        </w:rPr>
        <w:t>, Со</w:t>
      </w:r>
      <w:r w:rsidR="00A5126F">
        <w:rPr>
          <w:rFonts w:ascii="Times New Roman" w:hAnsi="Times New Roman" w:cs="Times New Roman"/>
          <w:bCs/>
          <w:sz w:val="28"/>
          <w:szCs w:val="28"/>
        </w:rPr>
        <w:t xml:space="preserve">вет депутатов Атяшевского </w:t>
      </w:r>
      <w:r w:rsidR="00A5126F" w:rsidRPr="005B33EA">
        <w:rPr>
          <w:rFonts w:ascii="Times New Roman" w:hAnsi="Times New Roman" w:cs="Times New Roman"/>
          <w:bCs/>
          <w:sz w:val="28"/>
          <w:szCs w:val="28"/>
        </w:rPr>
        <w:t>муниципального района  решил:</w:t>
      </w:r>
    </w:p>
    <w:p w:rsidR="00A5126F" w:rsidRPr="005B33EA" w:rsidRDefault="00A5126F" w:rsidP="00A5126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Установить расходное обязательство Атяшевского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 предоставлению бюджетам поселений Атяшевского муниципального района субсидий, выплачиваемых в зависимости от выполнения социально - экономических показателей.</w:t>
      </w:r>
    </w:p>
    <w:p w:rsidR="00A5126F" w:rsidRPr="00EB7196" w:rsidRDefault="00A5126F" w:rsidP="00A512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196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38" w:history="1">
        <w:r w:rsidRPr="00EB7196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B7196">
        <w:rPr>
          <w:rFonts w:ascii="Times New Roman" w:hAnsi="Times New Roman" w:cs="Times New Roman"/>
          <w:sz w:val="28"/>
          <w:szCs w:val="28"/>
        </w:rPr>
        <w:t xml:space="preserve"> предоставления бюджетам поселений Атяшевского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EB7196">
        <w:rPr>
          <w:rFonts w:ascii="Times New Roman" w:hAnsi="Times New Roman" w:cs="Times New Roman"/>
          <w:sz w:val="28"/>
          <w:szCs w:val="28"/>
        </w:rPr>
        <w:t xml:space="preserve">, выплачиваемых в зависимости от выполнения социально-экономических показателей.  </w:t>
      </w:r>
    </w:p>
    <w:p w:rsidR="00A5126F" w:rsidRDefault="00A5126F" w:rsidP="00A512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19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Решение Совета депутатов Атяшевского муниципального района от 18 апреля 2019 года №58 «Об установлении расходного обязательства Атяшевского муниципального района по предоставлению бюджетам поселений Атяшевского муниципального района иных межбюджетных трансфертов, выплачиваемых в зависимости от выполнения социально-экономических показателей».</w:t>
      </w:r>
    </w:p>
    <w:p w:rsidR="00A5126F" w:rsidRDefault="00A5126F" w:rsidP="00A512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B719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</w:t>
      </w:r>
      <w:r w:rsidRPr="005B33EA">
        <w:rPr>
          <w:rFonts w:ascii="Times New Roman" w:hAnsi="Times New Roman" w:cs="Times New Roman"/>
          <w:sz w:val="28"/>
          <w:szCs w:val="28"/>
        </w:rPr>
        <w:t xml:space="preserve"> опуб</w:t>
      </w:r>
      <w:r>
        <w:rPr>
          <w:rFonts w:ascii="Times New Roman" w:hAnsi="Times New Roman" w:cs="Times New Roman"/>
          <w:sz w:val="28"/>
          <w:szCs w:val="28"/>
        </w:rPr>
        <w:t>ликования.</w:t>
      </w:r>
    </w:p>
    <w:p w:rsidR="00A5126F" w:rsidRDefault="00A5126F" w:rsidP="00A512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3311" w:rsidRDefault="00B13311" w:rsidP="00B133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B13311" w:rsidRDefault="00B13311" w:rsidP="00B133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Атяшевского муниципального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М.Н.Подмарев</w:t>
      </w:r>
    </w:p>
    <w:p w:rsidR="00B13311" w:rsidRDefault="00B13311" w:rsidP="00B1331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126F" w:rsidRDefault="00A5126F" w:rsidP="00A51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Атяшевского </w:t>
      </w:r>
    </w:p>
    <w:p w:rsidR="00A5126F" w:rsidRDefault="00A5126F" w:rsidP="00A51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</w:t>
      </w:r>
      <w:r w:rsidR="00B13311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В.Г.Прокин</w:t>
      </w:r>
    </w:p>
    <w:p w:rsidR="00A5126F" w:rsidRDefault="00A5126F" w:rsidP="00A512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3311" w:rsidRDefault="00AF4623" w:rsidP="00F6616C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F4623" w:rsidRPr="00F6616C" w:rsidRDefault="00B13311" w:rsidP="00B13311">
      <w:pPr>
        <w:pStyle w:val="ConsPlusNormal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F4623" w:rsidRPr="00F6616C">
        <w:rPr>
          <w:rFonts w:ascii="Times New Roman" w:hAnsi="Times New Roman" w:cs="Times New Roman"/>
          <w:sz w:val="28"/>
          <w:szCs w:val="28"/>
        </w:rPr>
        <w:t>Утвержден</w:t>
      </w:r>
    </w:p>
    <w:p w:rsidR="00AF4623" w:rsidRPr="00F6616C" w:rsidRDefault="00F6616C" w:rsidP="00F6616C">
      <w:pPr>
        <w:pStyle w:val="ConsPlusNormal"/>
        <w:ind w:left="3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4623" w:rsidRPr="00F6616C">
        <w:rPr>
          <w:rFonts w:ascii="Times New Roman" w:hAnsi="Times New Roman" w:cs="Times New Roman"/>
          <w:sz w:val="28"/>
          <w:szCs w:val="28"/>
        </w:rPr>
        <w:t xml:space="preserve"> Решением Совета депутатов</w:t>
      </w:r>
    </w:p>
    <w:p w:rsidR="00AF4623" w:rsidRPr="00F6616C" w:rsidRDefault="00AF4623" w:rsidP="00F6616C">
      <w:pPr>
        <w:pStyle w:val="ConsPlusNormal"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 xml:space="preserve">     </w:t>
      </w:r>
      <w:r w:rsidR="00F6616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616C">
        <w:rPr>
          <w:rFonts w:ascii="Times New Roman" w:hAnsi="Times New Roman" w:cs="Times New Roman"/>
          <w:sz w:val="28"/>
          <w:szCs w:val="28"/>
        </w:rPr>
        <w:t xml:space="preserve"> Атяшевского муниципального района</w:t>
      </w:r>
    </w:p>
    <w:p w:rsidR="00AF4623" w:rsidRPr="00F6616C" w:rsidRDefault="0016291E" w:rsidP="0016291E">
      <w:pPr>
        <w:pStyle w:val="ConsPlusNormal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F4623" w:rsidRPr="00F6616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25.12.</w:t>
      </w:r>
      <w:r w:rsidR="00AF4623" w:rsidRPr="00F6616C">
        <w:rPr>
          <w:rFonts w:ascii="Times New Roman" w:hAnsi="Times New Roman" w:cs="Times New Roman"/>
          <w:sz w:val="28"/>
          <w:szCs w:val="28"/>
        </w:rPr>
        <w:t xml:space="preserve">2019 г. № </w:t>
      </w:r>
      <w:r>
        <w:rPr>
          <w:rFonts w:ascii="Times New Roman" w:hAnsi="Times New Roman" w:cs="Times New Roman"/>
          <w:sz w:val="28"/>
          <w:szCs w:val="28"/>
        </w:rPr>
        <w:t>94</w:t>
      </w:r>
    </w:p>
    <w:p w:rsidR="00AF4623" w:rsidRPr="00F6616C" w:rsidRDefault="00AF4623" w:rsidP="00F661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F4623" w:rsidRPr="00F6616C" w:rsidRDefault="00AF4623" w:rsidP="00F661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F6616C">
        <w:rPr>
          <w:rFonts w:ascii="Times New Roman" w:hAnsi="Times New Roman" w:cs="Times New Roman"/>
          <w:sz w:val="28"/>
          <w:szCs w:val="28"/>
        </w:rPr>
        <w:t>Порядок предоставления бюджетам поселений Атяшевского муниципального района субсидий, выплачиваемых в зависимости от выполнения социально-экономических показателей</w:t>
      </w:r>
    </w:p>
    <w:p w:rsidR="00AF4623" w:rsidRPr="00F6616C" w:rsidRDefault="00AF4623" w:rsidP="00F661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>1. Настоящий Порядок устанавливает цели, условия предоставления и расходования субсидий из бюджета Атяшевского муниципального района бюджетам поселений Атяшевского муниципального района (далее - поселения) на софинансирование расходных обязательств, возникающих при выполнении полномочий органов местного самоуправления по вопросам местного значения, выплачиваемых в зависимости от выполнения социально-экономических показателей (далее - субсидии), критерии отбора поселений.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>2. Целями предоставления субсидий являются создание условий для эффективного выполнения полномочий органов местного самоуправления и обеспечение дополнительного финансирования поселений для решения вопросов местного значения.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"/>
      <w:bookmarkEnd w:id="2"/>
      <w:r w:rsidRPr="00F6616C">
        <w:rPr>
          <w:rFonts w:ascii="Times New Roman" w:hAnsi="Times New Roman" w:cs="Times New Roman"/>
          <w:sz w:val="28"/>
          <w:szCs w:val="28"/>
        </w:rPr>
        <w:t>3. Субсидии предоставляются поселениям на софинансирование расходных обязательств по финансовому обеспечению деятельности муниципальных казенных учреждений и финансовому обеспечению выполнения муниципального задания бюджетными и автономными муниципальными учреждениями.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>4. Условиями предоставления субсидий поселениям являются: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>наличие нормативных правовых актов поселений, устанавливающих расходные обязательства, на софинансирование которых предоставляется субсидия;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>наличие предусмотренных в решении представительного органа поселения о местном бюджете бюджетных ассигнований на софинансирование соответствующих расходных обязательств.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 xml:space="preserve">Уровень софинансирования из бюджета </w:t>
      </w:r>
      <w:r w:rsidR="007D3D5C" w:rsidRPr="00F6616C">
        <w:rPr>
          <w:rFonts w:ascii="Times New Roman" w:hAnsi="Times New Roman" w:cs="Times New Roman"/>
          <w:sz w:val="28"/>
          <w:szCs w:val="28"/>
        </w:rPr>
        <w:t>Атяшевского муниципального района</w:t>
      </w:r>
      <w:r w:rsidRPr="00F6616C">
        <w:rPr>
          <w:rFonts w:ascii="Times New Roman" w:hAnsi="Times New Roman" w:cs="Times New Roman"/>
          <w:sz w:val="28"/>
          <w:szCs w:val="28"/>
        </w:rPr>
        <w:t xml:space="preserve"> не может быть выше 99 процентов от объема финансирования расходных обязательств </w:t>
      </w:r>
      <w:r w:rsidR="007D3D5C" w:rsidRPr="00F6616C">
        <w:rPr>
          <w:rFonts w:ascii="Times New Roman" w:hAnsi="Times New Roman" w:cs="Times New Roman"/>
          <w:sz w:val="28"/>
          <w:szCs w:val="28"/>
        </w:rPr>
        <w:t>поселений</w:t>
      </w:r>
      <w:r w:rsidRPr="00F6616C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48" w:history="1">
        <w:r w:rsidRPr="00F6616C">
          <w:rPr>
            <w:rFonts w:ascii="Times New Roman" w:hAnsi="Times New Roman" w:cs="Times New Roman"/>
            <w:color w:val="0000FF"/>
            <w:sz w:val="28"/>
            <w:szCs w:val="28"/>
          </w:rPr>
          <w:t>пункте 3</w:t>
        </w:r>
      </w:hyperlink>
      <w:r w:rsidRPr="00F6616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бюджета </w:t>
      </w:r>
      <w:r w:rsidR="007D3D5C" w:rsidRPr="00F6616C">
        <w:rPr>
          <w:rFonts w:ascii="Times New Roman" w:hAnsi="Times New Roman" w:cs="Times New Roman"/>
          <w:sz w:val="28"/>
          <w:szCs w:val="28"/>
        </w:rPr>
        <w:t>Атяшевского муниципального района</w:t>
      </w:r>
      <w:r w:rsidRPr="00F6616C">
        <w:rPr>
          <w:rFonts w:ascii="Times New Roman" w:hAnsi="Times New Roman" w:cs="Times New Roman"/>
          <w:sz w:val="28"/>
          <w:szCs w:val="28"/>
        </w:rPr>
        <w:t xml:space="preserve">, осуществляющим предоставление субсидий в соответствии с настоящим Порядком, является </w:t>
      </w:r>
      <w:r w:rsidR="007D3D5C" w:rsidRPr="00F6616C">
        <w:rPr>
          <w:rFonts w:ascii="Times New Roman" w:hAnsi="Times New Roman" w:cs="Times New Roman"/>
          <w:sz w:val="28"/>
          <w:szCs w:val="28"/>
        </w:rPr>
        <w:t>Администрация Атяшевского муниципального района</w:t>
      </w:r>
      <w:r w:rsidRPr="00F6616C">
        <w:rPr>
          <w:rFonts w:ascii="Times New Roman" w:hAnsi="Times New Roman" w:cs="Times New Roman"/>
          <w:sz w:val="28"/>
          <w:szCs w:val="28"/>
        </w:rPr>
        <w:t xml:space="preserve"> (далее - главный распорядитель).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>5. Условием расходования субсидии является наличие бюджетных смет и утвержденных муниципальных заданий.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>6. Критерием отбора поселений на получение субсидий является выполнение следующих социально-экономических показателей за отчетный период: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>объем собственных доходов бюджета, за исключением доходов, полученных в виде безвозмездных и безвозвратных перечислений бюджетов других уровней и внебюджетных фондов;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 xml:space="preserve">объем закупок скота и птицы от сельскохозяйственных организаций </w:t>
      </w:r>
      <w:r w:rsidRPr="00F6616C">
        <w:rPr>
          <w:rFonts w:ascii="Times New Roman" w:hAnsi="Times New Roman" w:cs="Times New Roman"/>
          <w:sz w:val="28"/>
          <w:szCs w:val="28"/>
        </w:rPr>
        <w:lastRenderedPageBreak/>
        <w:t>крестьянских (фермерских) хозяйств;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>объем закупок молока от сельскохозяйственных организаций крестьянских (фермерских) хозяйств;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>сохранность поголовья скота (КРС) в сельскохозяйственных организациях и крестьянских (фермерских) хозяйствах;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>объем оборота розничной торговли во всех каналах реализации;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</w:r>
      <w:r w:rsidR="00861DF5">
        <w:rPr>
          <w:rFonts w:ascii="Times New Roman" w:hAnsi="Times New Roman" w:cs="Times New Roman"/>
          <w:sz w:val="28"/>
          <w:szCs w:val="28"/>
        </w:rPr>
        <w:t>«</w:t>
      </w:r>
      <w:r w:rsidRPr="00F6616C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861DF5">
        <w:rPr>
          <w:rFonts w:ascii="Times New Roman" w:hAnsi="Times New Roman" w:cs="Times New Roman"/>
          <w:sz w:val="28"/>
          <w:szCs w:val="28"/>
        </w:rPr>
        <w:t>»</w:t>
      </w:r>
      <w:r w:rsidRPr="00F6616C">
        <w:rPr>
          <w:rFonts w:ascii="Times New Roman" w:hAnsi="Times New Roman" w:cs="Times New Roman"/>
          <w:sz w:val="28"/>
          <w:szCs w:val="28"/>
        </w:rPr>
        <w:t xml:space="preserve">, </w:t>
      </w:r>
      <w:r w:rsidR="00861DF5">
        <w:rPr>
          <w:rFonts w:ascii="Times New Roman" w:hAnsi="Times New Roman" w:cs="Times New Roman"/>
          <w:sz w:val="28"/>
          <w:szCs w:val="28"/>
        </w:rPr>
        <w:t>«</w:t>
      </w:r>
      <w:r w:rsidRPr="00F6616C">
        <w:rPr>
          <w:rFonts w:ascii="Times New Roman" w:hAnsi="Times New Roman" w:cs="Times New Roman"/>
          <w:sz w:val="28"/>
          <w:szCs w:val="28"/>
        </w:rPr>
        <w:t>Обеспечение электрической энергией, газом и паром; кондиционирование воздуха</w:t>
      </w:r>
      <w:r w:rsidR="00861DF5">
        <w:rPr>
          <w:rFonts w:ascii="Times New Roman" w:hAnsi="Times New Roman" w:cs="Times New Roman"/>
          <w:sz w:val="28"/>
          <w:szCs w:val="28"/>
        </w:rPr>
        <w:t>»</w:t>
      </w:r>
      <w:r w:rsidRPr="00F6616C">
        <w:rPr>
          <w:rFonts w:ascii="Times New Roman" w:hAnsi="Times New Roman" w:cs="Times New Roman"/>
          <w:sz w:val="28"/>
          <w:szCs w:val="28"/>
        </w:rPr>
        <w:t xml:space="preserve">, </w:t>
      </w:r>
      <w:r w:rsidR="00861DF5">
        <w:rPr>
          <w:rFonts w:ascii="Times New Roman" w:hAnsi="Times New Roman" w:cs="Times New Roman"/>
          <w:sz w:val="28"/>
          <w:szCs w:val="28"/>
        </w:rPr>
        <w:t>«</w:t>
      </w:r>
      <w:r w:rsidRPr="00F6616C">
        <w:rPr>
          <w:rFonts w:ascii="Times New Roman" w:hAnsi="Times New Roman" w:cs="Times New Roman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</w:t>
      </w:r>
      <w:r w:rsidR="00861DF5">
        <w:rPr>
          <w:rFonts w:ascii="Times New Roman" w:hAnsi="Times New Roman" w:cs="Times New Roman"/>
          <w:sz w:val="28"/>
          <w:szCs w:val="28"/>
        </w:rPr>
        <w:t>»</w:t>
      </w:r>
      <w:r w:rsidRPr="00F6616C">
        <w:rPr>
          <w:rFonts w:ascii="Times New Roman" w:hAnsi="Times New Roman" w:cs="Times New Roman"/>
          <w:sz w:val="28"/>
          <w:szCs w:val="28"/>
        </w:rPr>
        <w:t>;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>темп роста среднемесячной номинальной начисленной заработной платы;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>общая площадь введенного в эксплуатацию жилья с учетом индивидуального жилищного строительства.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  <w:r w:rsidRPr="00F6616C">
        <w:rPr>
          <w:rFonts w:ascii="Times New Roman" w:hAnsi="Times New Roman" w:cs="Times New Roman"/>
          <w:sz w:val="28"/>
          <w:szCs w:val="28"/>
        </w:rPr>
        <w:t xml:space="preserve">7. Главный распорядитель по каждому </w:t>
      </w:r>
      <w:r w:rsidR="007D3D5C" w:rsidRPr="00F6616C">
        <w:rPr>
          <w:rFonts w:ascii="Times New Roman" w:hAnsi="Times New Roman" w:cs="Times New Roman"/>
          <w:sz w:val="28"/>
          <w:szCs w:val="28"/>
        </w:rPr>
        <w:t>поселению</w:t>
      </w:r>
      <w:r w:rsidRPr="00F6616C">
        <w:rPr>
          <w:rFonts w:ascii="Times New Roman" w:hAnsi="Times New Roman" w:cs="Times New Roman"/>
          <w:sz w:val="28"/>
          <w:szCs w:val="28"/>
        </w:rPr>
        <w:t xml:space="preserve"> оценивает выполнение социально-экономических показателей:</w:t>
      </w:r>
    </w:p>
    <w:p w:rsidR="00AF4623" w:rsidRPr="00F6616C" w:rsidRDefault="00861DF5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F4623" w:rsidRPr="00F6616C">
        <w:rPr>
          <w:rFonts w:ascii="Times New Roman" w:hAnsi="Times New Roman" w:cs="Times New Roman"/>
          <w:sz w:val="28"/>
          <w:szCs w:val="28"/>
        </w:rPr>
        <w:t>Объем собственных доходов бюджета, за исключением доходов, полученных в виде безвозмездных и безвозвратных перечислений из бюджетов других уровней и внебюджетных фондов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4623" w:rsidRPr="00F661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4623" w:rsidRPr="00F6616C">
        <w:rPr>
          <w:rFonts w:ascii="Times New Roman" w:hAnsi="Times New Roman" w:cs="Times New Roman"/>
          <w:sz w:val="28"/>
          <w:szCs w:val="28"/>
        </w:rPr>
        <w:t>Объем закупок скота и птицы от сельскохозяйственных организаций и крестьянских (фермерских хозяйств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4623" w:rsidRPr="00F661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4623" w:rsidRPr="00F6616C">
        <w:rPr>
          <w:rFonts w:ascii="Times New Roman" w:hAnsi="Times New Roman" w:cs="Times New Roman"/>
          <w:sz w:val="28"/>
          <w:szCs w:val="28"/>
        </w:rPr>
        <w:t>Объем закупок молока от сельскохозяйственных организаций и крестьянских (фермерских) хозяйств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4623" w:rsidRPr="00F661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4623" w:rsidRPr="00F6616C">
        <w:rPr>
          <w:rFonts w:ascii="Times New Roman" w:hAnsi="Times New Roman" w:cs="Times New Roman"/>
          <w:sz w:val="28"/>
          <w:szCs w:val="28"/>
        </w:rPr>
        <w:t>Сохранность поголовья скота (КРС) в сельскохозяйственных организациях и крестьянских (фермерских) хозяйствах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4623" w:rsidRPr="00F661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4623" w:rsidRPr="00F6616C">
        <w:rPr>
          <w:rFonts w:ascii="Times New Roman" w:hAnsi="Times New Roman" w:cs="Times New Roman"/>
          <w:sz w:val="28"/>
          <w:szCs w:val="28"/>
        </w:rPr>
        <w:t>Объем оборота розничной торговли во всех каналах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4623" w:rsidRPr="00F661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4623" w:rsidRPr="00F6616C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4623" w:rsidRPr="00F6616C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4623" w:rsidRPr="00F661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4623" w:rsidRPr="00F6616C">
        <w:rPr>
          <w:rFonts w:ascii="Times New Roman" w:hAnsi="Times New Roman" w:cs="Times New Roman"/>
          <w:sz w:val="28"/>
          <w:szCs w:val="28"/>
        </w:rPr>
        <w:t>Обеспечение электрической энергией, газом и паром; кондиционирование воздуха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4623" w:rsidRPr="00F661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4623" w:rsidRPr="00F6616C">
        <w:rPr>
          <w:rFonts w:ascii="Times New Roman" w:hAnsi="Times New Roman" w:cs="Times New Roman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4623" w:rsidRPr="00F661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4623" w:rsidRPr="00F6616C">
        <w:rPr>
          <w:rFonts w:ascii="Times New Roman" w:hAnsi="Times New Roman" w:cs="Times New Roman"/>
          <w:sz w:val="28"/>
          <w:szCs w:val="28"/>
        </w:rPr>
        <w:t>Темп роста среднемесячной номинальной начисленной заработной платы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4623" w:rsidRPr="00F661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F4623" w:rsidRPr="00F6616C">
        <w:rPr>
          <w:rFonts w:ascii="Times New Roman" w:hAnsi="Times New Roman" w:cs="Times New Roman"/>
          <w:sz w:val="28"/>
          <w:szCs w:val="28"/>
        </w:rPr>
        <w:t>Общая площадь введенного в эксплуатацию жилья с учетом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F4623" w:rsidRPr="00F6616C">
        <w:rPr>
          <w:rFonts w:ascii="Times New Roman" w:hAnsi="Times New Roman" w:cs="Times New Roman"/>
          <w:sz w:val="28"/>
          <w:szCs w:val="28"/>
        </w:rPr>
        <w:t xml:space="preserve"> - на основании данных, представляемых Государственным казенным учреждением Республики Мордовия "Научный центр социально-экономического мониторинга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D3D5C" w:rsidRPr="00F6616C">
        <w:rPr>
          <w:rFonts w:ascii="Times New Roman" w:hAnsi="Times New Roman" w:cs="Times New Roman"/>
          <w:sz w:val="28"/>
          <w:szCs w:val="28"/>
        </w:rPr>
        <w:t>.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>Размер предоставляемой субсидии определяется пропорционально проценту выполнения социально-экономических показателей исходя из их плановой доли в общей сумме субсидии.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 xml:space="preserve">Плановые </w:t>
      </w:r>
      <w:hyperlink w:anchor="P493" w:history="1">
        <w:r w:rsidRPr="00F6616C">
          <w:rPr>
            <w:rFonts w:ascii="Times New Roman" w:hAnsi="Times New Roman" w:cs="Times New Roman"/>
            <w:color w:val="0000FF"/>
            <w:sz w:val="28"/>
            <w:szCs w:val="28"/>
          </w:rPr>
          <w:t>доли</w:t>
        </w:r>
      </w:hyperlink>
      <w:r w:rsidRPr="00F6616C">
        <w:rPr>
          <w:rFonts w:ascii="Times New Roman" w:hAnsi="Times New Roman" w:cs="Times New Roman"/>
          <w:sz w:val="28"/>
          <w:szCs w:val="28"/>
        </w:rPr>
        <w:t xml:space="preserve"> показателей социально-экономического развития по поселениям устанавливаются в размерах согласно приложению </w:t>
      </w:r>
      <w:r w:rsidR="007D3D5C" w:rsidRPr="00F6616C">
        <w:rPr>
          <w:rFonts w:ascii="Times New Roman" w:hAnsi="Times New Roman" w:cs="Times New Roman"/>
          <w:sz w:val="28"/>
          <w:szCs w:val="28"/>
        </w:rPr>
        <w:t>1</w:t>
      </w:r>
      <w:r w:rsidRPr="00F6616C">
        <w:rPr>
          <w:rFonts w:ascii="Times New Roman" w:hAnsi="Times New Roman" w:cs="Times New Roman"/>
          <w:sz w:val="28"/>
          <w:szCs w:val="28"/>
        </w:rPr>
        <w:t>.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>Выполнение социально-экономического показателя определяется как отношение фактически сложившегося уровня показателя к прогнозному.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 xml:space="preserve">Прогноз по социально-экономическим показателям в разрезе </w:t>
      </w:r>
      <w:r w:rsidR="00D87900" w:rsidRPr="00F6616C">
        <w:rPr>
          <w:rFonts w:ascii="Times New Roman" w:hAnsi="Times New Roman" w:cs="Times New Roman"/>
          <w:sz w:val="28"/>
          <w:szCs w:val="28"/>
        </w:rPr>
        <w:t>поселений</w:t>
      </w:r>
      <w:r w:rsidRPr="00F6616C">
        <w:rPr>
          <w:rFonts w:ascii="Times New Roman" w:hAnsi="Times New Roman" w:cs="Times New Roman"/>
          <w:sz w:val="28"/>
          <w:szCs w:val="28"/>
        </w:rPr>
        <w:t xml:space="preserve"> в </w:t>
      </w:r>
      <w:r w:rsidR="00D87900" w:rsidRPr="00F6616C">
        <w:rPr>
          <w:rFonts w:ascii="Times New Roman" w:hAnsi="Times New Roman" w:cs="Times New Roman"/>
          <w:sz w:val="28"/>
          <w:szCs w:val="28"/>
        </w:rPr>
        <w:t>Атяшевском муниципальном районе</w:t>
      </w:r>
      <w:r w:rsidRPr="00F6616C">
        <w:rPr>
          <w:rFonts w:ascii="Times New Roman" w:hAnsi="Times New Roman" w:cs="Times New Roman"/>
          <w:sz w:val="28"/>
          <w:szCs w:val="28"/>
        </w:rPr>
        <w:t xml:space="preserve"> утверждается ежегодно </w:t>
      </w:r>
      <w:r w:rsidR="00D87900" w:rsidRPr="00F6616C">
        <w:rPr>
          <w:rFonts w:ascii="Times New Roman" w:hAnsi="Times New Roman" w:cs="Times New Roman"/>
          <w:sz w:val="28"/>
          <w:szCs w:val="28"/>
        </w:rPr>
        <w:t>постановлением Администрации Атяше</w:t>
      </w:r>
      <w:r w:rsidR="00F6616C">
        <w:rPr>
          <w:rFonts w:ascii="Times New Roman" w:hAnsi="Times New Roman" w:cs="Times New Roman"/>
          <w:sz w:val="28"/>
          <w:szCs w:val="28"/>
        </w:rPr>
        <w:t>в</w:t>
      </w:r>
      <w:r w:rsidR="00D87900" w:rsidRPr="00F6616C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Pr="00F6616C">
        <w:rPr>
          <w:rFonts w:ascii="Times New Roman" w:hAnsi="Times New Roman" w:cs="Times New Roman"/>
          <w:sz w:val="28"/>
          <w:szCs w:val="28"/>
        </w:rPr>
        <w:t>.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 xml:space="preserve">8. Распределение плановой годовой суммы субсидий между </w:t>
      </w:r>
      <w:r w:rsidR="00D87900" w:rsidRPr="00F6616C">
        <w:rPr>
          <w:rFonts w:ascii="Times New Roman" w:hAnsi="Times New Roman" w:cs="Times New Roman"/>
          <w:sz w:val="28"/>
          <w:szCs w:val="28"/>
        </w:rPr>
        <w:t>поселениями</w:t>
      </w:r>
      <w:r w:rsidRPr="00F6616C">
        <w:rPr>
          <w:rFonts w:ascii="Times New Roman" w:hAnsi="Times New Roman" w:cs="Times New Roman"/>
          <w:sz w:val="28"/>
          <w:szCs w:val="28"/>
        </w:rPr>
        <w:t xml:space="preserve"> устанавливается </w:t>
      </w:r>
      <w:r w:rsidR="00D87900" w:rsidRPr="00F6616C">
        <w:rPr>
          <w:rFonts w:ascii="Times New Roman" w:hAnsi="Times New Roman" w:cs="Times New Roman"/>
          <w:sz w:val="28"/>
          <w:szCs w:val="28"/>
        </w:rPr>
        <w:t xml:space="preserve">Решением Совета депутатов Атяшевского муниципального </w:t>
      </w:r>
      <w:r w:rsidR="00D87900" w:rsidRPr="00F6616C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F6616C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D87900" w:rsidRPr="00F6616C">
        <w:rPr>
          <w:rFonts w:ascii="Times New Roman" w:hAnsi="Times New Roman" w:cs="Times New Roman"/>
          <w:sz w:val="28"/>
          <w:szCs w:val="28"/>
        </w:rPr>
        <w:t>Атяшевского муниципального района</w:t>
      </w:r>
      <w:r w:rsidRPr="00F6616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</w:t>
      </w:r>
      <w:r w:rsidR="00D87900" w:rsidRPr="00F6616C">
        <w:rPr>
          <w:rFonts w:ascii="Times New Roman" w:hAnsi="Times New Roman" w:cs="Times New Roman"/>
          <w:sz w:val="28"/>
          <w:szCs w:val="28"/>
        </w:rPr>
        <w:t>.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 xml:space="preserve">Плановая месячная сумма субсидий для </w:t>
      </w:r>
      <w:r w:rsidR="00D87900" w:rsidRPr="00F6616C">
        <w:rPr>
          <w:rFonts w:ascii="Times New Roman" w:hAnsi="Times New Roman" w:cs="Times New Roman"/>
          <w:sz w:val="28"/>
          <w:szCs w:val="28"/>
        </w:rPr>
        <w:t>поселений</w:t>
      </w:r>
      <w:r w:rsidRPr="00F6616C">
        <w:rPr>
          <w:rFonts w:ascii="Times New Roman" w:hAnsi="Times New Roman" w:cs="Times New Roman"/>
          <w:sz w:val="28"/>
          <w:szCs w:val="28"/>
        </w:rPr>
        <w:t xml:space="preserve"> устанавливается в размере 1/12 части от плановой годовой суммы субсидий на очередной финансовый год.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 xml:space="preserve">9. При подведении итогов в расчет показателя </w:t>
      </w:r>
      <w:r w:rsidR="00861DF5">
        <w:rPr>
          <w:rFonts w:ascii="Times New Roman" w:hAnsi="Times New Roman" w:cs="Times New Roman"/>
          <w:sz w:val="28"/>
          <w:szCs w:val="28"/>
        </w:rPr>
        <w:t>«</w:t>
      </w:r>
      <w:r w:rsidRPr="00F6616C">
        <w:rPr>
          <w:rFonts w:ascii="Times New Roman" w:hAnsi="Times New Roman" w:cs="Times New Roman"/>
          <w:sz w:val="28"/>
          <w:szCs w:val="28"/>
        </w:rPr>
        <w:t>Объем собственных доходов бюджета, за исключением доходов, полученных в виде безвозмездных и безвозвратных перечислений из бюджетов других уровней и внебюджетных фондов</w:t>
      </w:r>
      <w:r w:rsidR="00861DF5">
        <w:rPr>
          <w:rFonts w:ascii="Times New Roman" w:hAnsi="Times New Roman" w:cs="Times New Roman"/>
          <w:sz w:val="28"/>
          <w:szCs w:val="28"/>
        </w:rPr>
        <w:t>»</w:t>
      </w:r>
      <w:r w:rsidRPr="00F6616C">
        <w:rPr>
          <w:rFonts w:ascii="Times New Roman" w:hAnsi="Times New Roman" w:cs="Times New Roman"/>
          <w:sz w:val="28"/>
          <w:szCs w:val="28"/>
        </w:rPr>
        <w:t xml:space="preserve"> не включаются доходы, поступившие от вновь созданных и зарегистрированных в текущем году организаций.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 xml:space="preserve">При подведении итогов по показателю </w:t>
      </w:r>
      <w:r w:rsidR="00861DF5">
        <w:rPr>
          <w:rFonts w:ascii="Times New Roman" w:hAnsi="Times New Roman" w:cs="Times New Roman"/>
          <w:sz w:val="28"/>
          <w:szCs w:val="28"/>
        </w:rPr>
        <w:t>«</w:t>
      </w:r>
      <w:r w:rsidRPr="00F6616C">
        <w:rPr>
          <w:rFonts w:ascii="Times New Roman" w:hAnsi="Times New Roman" w:cs="Times New Roman"/>
          <w:sz w:val="28"/>
          <w:szCs w:val="28"/>
        </w:rPr>
        <w:t>Объем закупок скота и птицы от сельскохозяйственных организаций и крестьянских (фермерских) хозяйств</w:t>
      </w:r>
      <w:r w:rsidR="00861DF5">
        <w:rPr>
          <w:rFonts w:ascii="Times New Roman" w:hAnsi="Times New Roman" w:cs="Times New Roman"/>
          <w:sz w:val="28"/>
          <w:szCs w:val="28"/>
        </w:rPr>
        <w:t>»</w:t>
      </w:r>
      <w:r w:rsidRPr="00F6616C">
        <w:rPr>
          <w:rFonts w:ascii="Times New Roman" w:hAnsi="Times New Roman" w:cs="Times New Roman"/>
          <w:sz w:val="28"/>
          <w:szCs w:val="28"/>
        </w:rPr>
        <w:t xml:space="preserve"> и показателю </w:t>
      </w:r>
      <w:r w:rsidR="00861DF5">
        <w:rPr>
          <w:rFonts w:ascii="Times New Roman" w:hAnsi="Times New Roman" w:cs="Times New Roman"/>
          <w:sz w:val="28"/>
          <w:szCs w:val="28"/>
        </w:rPr>
        <w:t>«</w:t>
      </w:r>
      <w:r w:rsidRPr="00F6616C">
        <w:rPr>
          <w:rFonts w:ascii="Times New Roman" w:hAnsi="Times New Roman" w:cs="Times New Roman"/>
          <w:sz w:val="28"/>
          <w:szCs w:val="28"/>
        </w:rPr>
        <w:t>Объем закупок молока от сельскохозяйственных организаций и крестьянских (фермерских) хозяйств</w:t>
      </w:r>
      <w:r w:rsidR="00861DF5">
        <w:rPr>
          <w:rFonts w:ascii="Times New Roman" w:hAnsi="Times New Roman" w:cs="Times New Roman"/>
          <w:sz w:val="28"/>
          <w:szCs w:val="28"/>
        </w:rPr>
        <w:t>»</w:t>
      </w:r>
      <w:r w:rsidRPr="00F6616C">
        <w:rPr>
          <w:rFonts w:ascii="Times New Roman" w:hAnsi="Times New Roman" w:cs="Times New Roman"/>
          <w:sz w:val="28"/>
          <w:szCs w:val="28"/>
        </w:rPr>
        <w:t xml:space="preserve"> для начисления субсидий учитывается реализация животноводческой продукции заготовительным и перерабатывающим организациям.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 xml:space="preserve">При подведении итогов по показателю </w:t>
      </w:r>
      <w:r w:rsidR="00861DF5">
        <w:rPr>
          <w:rFonts w:ascii="Times New Roman" w:hAnsi="Times New Roman" w:cs="Times New Roman"/>
          <w:sz w:val="28"/>
          <w:szCs w:val="28"/>
        </w:rPr>
        <w:t>«</w:t>
      </w:r>
      <w:r w:rsidRPr="00F6616C">
        <w:rPr>
          <w:rFonts w:ascii="Times New Roman" w:hAnsi="Times New Roman" w:cs="Times New Roman"/>
          <w:sz w:val="28"/>
          <w:szCs w:val="28"/>
        </w:rPr>
        <w:t>Сохранность поголовья скота (КРС) в сельскохозяйственных организациях и крестьянских (фермерских) хозяйствах</w:t>
      </w:r>
      <w:r w:rsidR="00861DF5">
        <w:rPr>
          <w:rFonts w:ascii="Times New Roman" w:hAnsi="Times New Roman" w:cs="Times New Roman"/>
          <w:sz w:val="28"/>
          <w:szCs w:val="28"/>
        </w:rPr>
        <w:t>»</w:t>
      </w:r>
      <w:r w:rsidRPr="00F6616C">
        <w:rPr>
          <w:rFonts w:ascii="Times New Roman" w:hAnsi="Times New Roman" w:cs="Times New Roman"/>
          <w:sz w:val="28"/>
          <w:szCs w:val="28"/>
        </w:rPr>
        <w:t xml:space="preserve"> поголовье скота (КРС) нарастающим итогом с начала года в пересчете на условные головы сравнивается с поголовьем скота (КРС) по состоянию на 1 января отчетного года.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>При расчете сохранности поголовья скота (КРС), поголовье, поставленное с 1 января текущего финансового года сельскохозяйственными товаропроизводителями перерабатывающим организациям Республики Мордовия, по заключению Республиканской ветеринарной службы Республики Мордовия в связи с положительной реакцией на туберкулин, учитывается в течение календарного года по территориям - поставщикам скота.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 xml:space="preserve">При подведении итогов по показателю </w:t>
      </w:r>
      <w:r w:rsidR="00861DF5">
        <w:rPr>
          <w:rFonts w:ascii="Times New Roman" w:hAnsi="Times New Roman" w:cs="Times New Roman"/>
          <w:sz w:val="28"/>
          <w:szCs w:val="28"/>
        </w:rPr>
        <w:t>«</w:t>
      </w:r>
      <w:r w:rsidRPr="00F6616C">
        <w:rPr>
          <w:rFonts w:ascii="Times New Roman" w:hAnsi="Times New Roman" w:cs="Times New Roman"/>
          <w:sz w:val="28"/>
          <w:szCs w:val="28"/>
        </w:rPr>
        <w:t>Объем оборота розничной торговли во всех каналах реализации</w:t>
      </w:r>
      <w:r w:rsidR="00861DF5">
        <w:rPr>
          <w:rFonts w:ascii="Times New Roman" w:hAnsi="Times New Roman" w:cs="Times New Roman"/>
          <w:sz w:val="28"/>
          <w:szCs w:val="28"/>
        </w:rPr>
        <w:t>»</w:t>
      </w:r>
      <w:r w:rsidRPr="00F6616C">
        <w:rPr>
          <w:rFonts w:ascii="Times New Roman" w:hAnsi="Times New Roman" w:cs="Times New Roman"/>
          <w:sz w:val="28"/>
          <w:szCs w:val="28"/>
        </w:rPr>
        <w:t xml:space="preserve"> осуществляется корректировка на поправочный коэффициент, определяемый как отношение фактически сложившегося индекса-дефлятора оборота розничной торговли к прогнозному.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 xml:space="preserve">При подведении итогов по показателю </w:t>
      </w:r>
      <w:r w:rsidR="00861DF5">
        <w:rPr>
          <w:rFonts w:ascii="Times New Roman" w:hAnsi="Times New Roman" w:cs="Times New Roman"/>
          <w:sz w:val="28"/>
          <w:szCs w:val="28"/>
        </w:rPr>
        <w:t>«</w:t>
      </w:r>
      <w:r w:rsidRPr="00F6616C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</w:r>
      <w:r w:rsidR="00861DF5">
        <w:rPr>
          <w:rFonts w:ascii="Times New Roman" w:hAnsi="Times New Roman" w:cs="Times New Roman"/>
          <w:sz w:val="28"/>
          <w:szCs w:val="28"/>
        </w:rPr>
        <w:t>«</w:t>
      </w:r>
      <w:r w:rsidRPr="00F6616C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861DF5">
        <w:rPr>
          <w:rFonts w:ascii="Times New Roman" w:hAnsi="Times New Roman" w:cs="Times New Roman"/>
          <w:sz w:val="28"/>
          <w:szCs w:val="28"/>
        </w:rPr>
        <w:t>»</w:t>
      </w:r>
      <w:r w:rsidRPr="00F6616C">
        <w:rPr>
          <w:rFonts w:ascii="Times New Roman" w:hAnsi="Times New Roman" w:cs="Times New Roman"/>
          <w:sz w:val="28"/>
          <w:szCs w:val="28"/>
        </w:rPr>
        <w:t xml:space="preserve">, </w:t>
      </w:r>
      <w:r w:rsidR="00861DF5">
        <w:rPr>
          <w:rFonts w:ascii="Times New Roman" w:hAnsi="Times New Roman" w:cs="Times New Roman"/>
          <w:sz w:val="28"/>
          <w:szCs w:val="28"/>
        </w:rPr>
        <w:t>«</w:t>
      </w:r>
      <w:r w:rsidRPr="00F6616C">
        <w:rPr>
          <w:rFonts w:ascii="Times New Roman" w:hAnsi="Times New Roman" w:cs="Times New Roman"/>
          <w:sz w:val="28"/>
          <w:szCs w:val="28"/>
        </w:rPr>
        <w:t>Обеспечение электрической энергией, газом и паром; кондиционирование воздуха</w:t>
      </w:r>
      <w:r w:rsidR="00861DF5">
        <w:rPr>
          <w:rFonts w:ascii="Times New Roman" w:hAnsi="Times New Roman" w:cs="Times New Roman"/>
          <w:sz w:val="28"/>
          <w:szCs w:val="28"/>
        </w:rPr>
        <w:t>»</w:t>
      </w:r>
      <w:r w:rsidRPr="00F6616C">
        <w:rPr>
          <w:rFonts w:ascii="Times New Roman" w:hAnsi="Times New Roman" w:cs="Times New Roman"/>
          <w:sz w:val="28"/>
          <w:szCs w:val="28"/>
        </w:rPr>
        <w:t xml:space="preserve">, </w:t>
      </w:r>
      <w:r w:rsidR="00861DF5">
        <w:rPr>
          <w:rFonts w:ascii="Times New Roman" w:hAnsi="Times New Roman" w:cs="Times New Roman"/>
          <w:sz w:val="28"/>
          <w:szCs w:val="28"/>
        </w:rPr>
        <w:t>«</w:t>
      </w:r>
      <w:r w:rsidRPr="00F6616C">
        <w:rPr>
          <w:rFonts w:ascii="Times New Roman" w:hAnsi="Times New Roman" w:cs="Times New Roman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</w:t>
      </w:r>
      <w:r w:rsidR="00861DF5">
        <w:rPr>
          <w:rFonts w:ascii="Times New Roman" w:hAnsi="Times New Roman" w:cs="Times New Roman"/>
          <w:sz w:val="28"/>
          <w:szCs w:val="28"/>
        </w:rPr>
        <w:t>»</w:t>
      </w:r>
      <w:r w:rsidRPr="00F6616C">
        <w:rPr>
          <w:rFonts w:ascii="Times New Roman" w:hAnsi="Times New Roman" w:cs="Times New Roman"/>
          <w:sz w:val="28"/>
          <w:szCs w:val="28"/>
        </w:rPr>
        <w:t xml:space="preserve"> осуществляется корректировка на поправочный коэффициент, определяемый как отношение фактически сложившегося индекса-дефлятора цен к прогнозному.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 xml:space="preserve">Подведение итогов по показателю </w:t>
      </w:r>
      <w:r w:rsidR="00861DF5">
        <w:rPr>
          <w:rFonts w:ascii="Times New Roman" w:hAnsi="Times New Roman" w:cs="Times New Roman"/>
          <w:sz w:val="28"/>
          <w:szCs w:val="28"/>
        </w:rPr>
        <w:t>«</w:t>
      </w:r>
      <w:r w:rsidRPr="00F6616C">
        <w:rPr>
          <w:rFonts w:ascii="Times New Roman" w:hAnsi="Times New Roman" w:cs="Times New Roman"/>
          <w:sz w:val="28"/>
          <w:szCs w:val="28"/>
        </w:rPr>
        <w:t>Темп роста среднемесячной номинальной начисленной заработной платы</w:t>
      </w:r>
      <w:r w:rsidR="00861DF5">
        <w:rPr>
          <w:rFonts w:ascii="Times New Roman" w:hAnsi="Times New Roman" w:cs="Times New Roman"/>
          <w:sz w:val="28"/>
          <w:szCs w:val="28"/>
        </w:rPr>
        <w:t>»</w:t>
      </w:r>
      <w:r w:rsidRPr="00F6616C">
        <w:rPr>
          <w:rFonts w:ascii="Times New Roman" w:hAnsi="Times New Roman" w:cs="Times New Roman"/>
          <w:sz w:val="28"/>
          <w:szCs w:val="28"/>
        </w:rPr>
        <w:t xml:space="preserve"> осуществляется по кругу крупных и средних организаций.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>10. При перевыполнении показателей социально-экономического развития более чем на 10% за каждый последующий процент засчитывается выполнение 0,1%, но не более 10% плановой суммы субсидий.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 xml:space="preserve">Для </w:t>
      </w:r>
      <w:r w:rsidR="00D87900" w:rsidRPr="00F6616C">
        <w:rPr>
          <w:rFonts w:ascii="Times New Roman" w:hAnsi="Times New Roman" w:cs="Times New Roman"/>
          <w:sz w:val="28"/>
          <w:szCs w:val="28"/>
        </w:rPr>
        <w:t>поселений</w:t>
      </w:r>
      <w:r w:rsidRPr="00F6616C">
        <w:rPr>
          <w:rFonts w:ascii="Times New Roman" w:hAnsi="Times New Roman" w:cs="Times New Roman"/>
          <w:sz w:val="28"/>
          <w:szCs w:val="28"/>
        </w:rPr>
        <w:t xml:space="preserve">, по которым прогноз социально-экономических показателей принят ниже оптимально напряженного уровня, при подведении итогов по </w:t>
      </w:r>
      <w:r w:rsidRPr="00F6616C">
        <w:rPr>
          <w:rFonts w:ascii="Times New Roman" w:hAnsi="Times New Roman" w:cs="Times New Roman"/>
          <w:sz w:val="28"/>
          <w:szCs w:val="28"/>
        </w:rPr>
        <w:lastRenderedPageBreak/>
        <w:t>ненапряженным показателям за каждый процент выполнения свыше 100% засчитывается 0,1 процента.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 xml:space="preserve">За оптимально напряженные принимаются показатели прогноза социально-экономического развития </w:t>
      </w:r>
      <w:r w:rsidR="00D87900" w:rsidRPr="00F6616C">
        <w:rPr>
          <w:rFonts w:ascii="Times New Roman" w:hAnsi="Times New Roman" w:cs="Times New Roman"/>
          <w:sz w:val="28"/>
          <w:szCs w:val="28"/>
        </w:rPr>
        <w:t>поселений</w:t>
      </w:r>
      <w:r w:rsidRPr="00F6616C">
        <w:rPr>
          <w:rFonts w:ascii="Times New Roman" w:hAnsi="Times New Roman" w:cs="Times New Roman"/>
          <w:sz w:val="28"/>
          <w:szCs w:val="28"/>
        </w:rPr>
        <w:t xml:space="preserve">, утвержденные в соответствии с </w:t>
      </w:r>
      <w:hyperlink w:anchor="P82" w:history="1">
        <w:r w:rsidRPr="00F6616C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F6616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 xml:space="preserve">11. Итоги по показателям </w:t>
      </w:r>
      <w:r w:rsidR="00861DF5">
        <w:rPr>
          <w:rFonts w:ascii="Times New Roman" w:hAnsi="Times New Roman" w:cs="Times New Roman"/>
          <w:sz w:val="28"/>
          <w:szCs w:val="28"/>
        </w:rPr>
        <w:t>«</w:t>
      </w:r>
      <w:r w:rsidRPr="00F6616C">
        <w:rPr>
          <w:rFonts w:ascii="Times New Roman" w:hAnsi="Times New Roman" w:cs="Times New Roman"/>
          <w:sz w:val="28"/>
          <w:szCs w:val="28"/>
        </w:rPr>
        <w:t>Объем собственных доходов бюджета, за исключением доходов, полученных в виде безвозмездных и безвозвратных перечислений из бюджетов других уровней и внебюджетных фондов</w:t>
      </w:r>
      <w:r w:rsidR="00861DF5">
        <w:rPr>
          <w:rFonts w:ascii="Times New Roman" w:hAnsi="Times New Roman" w:cs="Times New Roman"/>
          <w:sz w:val="28"/>
          <w:szCs w:val="28"/>
        </w:rPr>
        <w:t>»</w:t>
      </w:r>
      <w:r w:rsidRPr="00F6616C">
        <w:rPr>
          <w:rFonts w:ascii="Times New Roman" w:hAnsi="Times New Roman" w:cs="Times New Roman"/>
          <w:sz w:val="28"/>
          <w:szCs w:val="28"/>
        </w:rPr>
        <w:t xml:space="preserve">, </w:t>
      </w:r>
      <w:r w:rsidR="00861DF5">
        <w:rPr>
          <w:rFonts w:ascii="Times New Roman" w:hAnsi="Times New Roman" w:cs="Times New Roman"/>
          <w:sz w:val="28"/>
          <w:szCs w:val="28"/>
        </w:rPr>
        <w:t>«</w:t>
      </w:r>
      <w:r w:rsidRPr="00F6616C">
        <w:rPr>
          <w:rFonts w:ascii="Times New Roman" w:hAnsi="Times New Roman" w:cs="Times New Roman"/>
          <w:sz w:val="28"/>
          <w:szCs w:val="28"/>
        </w:rPr>
        <w:t>Объем закупок молока от сельскохозяйственных организаций и крестьянских (фермерских) хозяйств</w:t>
      </w:r>
      <w:r w:rsidR="00861DF5">
        <w:rPr>
          <w:rFonts w:ascii="Times New Roman" w:hAnsi="Times New Roman" w:cs="Times New Roman"/>
          <w:sz w:val="28"/>
          <w:szCs w:val="28"/>
        </w:rPr>
        <w:t>»</w:t>
      </w:r>
      <w:r w:rsidRPr="00F6616C">
        <w:rPr>
          <w:rFonts w:ascii="Times New Roman" w:hAnsi="Times New Roman" w:cs="Times New Roman"/>
          <w:sz w:val="28"/>
          <w:szCs w:val="28"/>
        </w:rPr>
        <w:t xml:space="preserve">, </w:t>
      </w:r>
      <w:r w:rsidR="00861DF5">
        <w:rPr>
          <w:rFonts w:ascii="Times New Roman" w:hAnsi="Times New Roman" w:cs="Times New Roman"/>
          <w:sz w:val="28"/>
          <w:szCs w:val="28"/>
        </w:rPr>
        <w:t>«</w:t>
      </w:r>
      <w:r w:rsidRPr="00F6616C">
        <w:rPr>
          <w:rFonts w:ascii="Times New Roman" w:hAnsi="Times New Roman" w:cs="Times New Roman"/>
          <w:sz w:val="28"/>
          <w:szCs w:val="28"/>
        </w:rPr>
        <w:t>Объем оборота розничной торговли во всех каналах реализации</w:t>
      </w:r>
      <w:r w:rsidR="00861DF5">
        <w:rPr>
          <w:rFonts w:ascii="Times New Roman" w:hAnsi="Times New Roman" w:cs="Times New Roman"/>
          <w:sz w:val="28"/>
          <w:szCs w:val="28"/>
        </w:rPr>
        <w:t>»</w:t>
      </w:r>
      <w:r w:rsidRPr="00F6616C">
        <w:rPr>
          <w:rFonts w:ascii="Times New Roman" w:hAnsi="Times New Roman" w:cs="Times New Roman"/>
          <w:sz w:val="28"/>
          <w:szCs w:val="28"/>
        </w:rPr>
        <w:t xml:space="preserve">, </w:t>
      </w:r>
      <w:r w:rsidR="00861DF5">
        <w:rPr>
          <w:rFonts w:ascii="Times New Roman" w:hAnsi="Times New Roman" w:cs="Times New Roman"/>
          <w:sz w:val="28"/>
          <w:szCs w:val="28"/>
        </w:rPr>
        <w:t>«</w:t>
      </w:r>
      <w:r w:rsidRPr="00F6616C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</w:r>
      <w:r w:rsidR="00861DF5">
        <w:rPr>
          <w:rFonts w:ascii="Times New Roman" w:hAnsi="Times New Roman" w:cs="Times New Roman"/>
          <w:sz w:val="28"/>
          <w:szCs w:val="28"/>
        </w:rPr>
        <w:t>«</w:t>
      </w:r>
      <w:r w:rsidRPr="00F6616C">
        <w:rPr>
          <w:rFonts w:ascii="Times New Roman" w:hAnsi="Times New Roman" w:cs="Times New Roman"/>
          <w:sz w:val="28"/>
          <w:szCs w:val="28"/>
        </w:rPr>
        <w:t>Обрабатывающие производства</w:t>
      </w:r>
      <w:r w:rsidR="00861DF5">
        <w:rPr>
          <w:rFonts w:ascii="Times New Roman" w:hAnsi="Times New Roman" w:cs="Times New Roman"/>
          <w:sz w:val="28"/>
          <w:szCs w:val="28"/>
        </w:rPr>
        <w:t>»</w:t>
      </w:r>
      <w:r w:rsidRPr="00F6616C">
        <w:rPr>
          <w:rFonts w:ascii="Times New Roman" w:hAnsi="Times New Roman" w:cs="Times New Roman"/>
          <w:sz w:val="28"/>
          <w:szCs w:val="28"/>
        </w:rPr>
        <w:t xml:space="preserve">, </w:t>
      </w:r>
      <w:r w:rsidR="00861DF5">
        <w:rPr>
          <w:rFonts w:ascii="Times New Roman" w:hAnsi="Times New Roman" w:cs="Times New Roman"/>
          <w:sz w:val="28"/>
          <w:szCs w:val="28"/>
        </w:rPr>
        <w:t>«</w:t>
      </w:r>
      <w:r w:rsidRPr="00F6616C">
        <w:rPr>
          <w:rFonts w:ascii="Times New Roman" w:hAnsi="Times New Roman" w:cs="Times New Roman"/>
          <w:sz w:val="28"/>
          <w:szCs w:val="28"/>
        </w:rPr>
        <w:t>Обеспечение электрической энергией, газом и паром; кондиционирование воздуха</w:t>
      </w:r>
      <w:r w:rsidR="00861DF5">
        <w:rPr>
          <w:rFonts w:ascii="Times New Roman" w:hAnsi="Times New Roman" w:cs="Times New Roman"/>
          <w:sz w:val="28"/>
          <w:szCs w:val="28"/>
        </w:rPr>
        <w:t>»</w:t>
      </w:r>
      <w:r w:rsidRPr="00F6616C">
        <w:rPr>
          <w:rFonts w:ascii="Times New Roman" w:hAnsi="Times New Roman" w:cs="Times New Roman"/>
          <w:sz w:val="28"/>
          <w:szCs w:val="28"/>
        </w:rPr>
        <w:t xml:space="preserve">, </w:t>
      </w:r>
      <w:r w:rsidR="00861DF5">
        <w:rPr>
          <w:rFonts w:ascii="Times New Roman" w:hAnsi="Times New Roman" w:cs="Times New Roman"/>
          <w:sz w:val="28"/>
          <w:szCs w:val="28"/>
        </w:rPr>
        <w:t>«</w:t>
      </w:r>
      <w:r w:rsidRPr="00F6616C">
        <w:rPr>
          <w:rFonts w:ascii="Times New Roman" w:hAnsi="Times New Roman" w:cs="Times New Roman"/>
          <w:sz w:val="28"/>
          <w:szCs w:val="28"/>
        </w:rPr>
        <w:t>Водоснабжение; водоотведение, организация сбора и утилизации отходов, деятельность по ликвидации загрязнений</w:t>
      </w:r>
      <w:r w:rsidR="00861DF5">
        <w:rPr>
          <w:rFonts w:ascii="Times New Roman" w:hAnsi="Times New Roman" w:cs="Times New Roman"/>
          <w:sz w:val="28"/>
          <w:szCs w:val="28"/>
        </w:rPr>
        <w:t>»</w:t>
      </w:r>
      <w:r w:rsidRPr="00F6616C">
        <w:rPr>
          <w:rFonts w:ascii="Times New Roman" w:hAnsi="Times New Roman" w:cs="Times New Roman"/>
          <w:sz w:val="28"/>
          <w:szCs w:val="28"/>
        </w:rPr>
        <w:t xml:space="preserve"> подводятся ежемесячно.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>Итоги по остальным показателям подводятся ежеквартально нарастающим итогом с начала года.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>12. Если в подведении итогов и расчетах начисления субсидий участвуют не все показатели (не отслеживаются в первые два месяца квартала), то к распределению берется плановая сумма субсидий, которая перераспределяется пропорционально плановой процентной доле показателей, рассматриваемых при подведении итогов.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 xml:space="preserve">13. Начисление субсидий бюджетам </w:t>
      </w:r>
      <w:r w:rsidR="00D87900" w:rsidRPr="00F6616C">
        <w:rPr>
          <w:rFonts w:ascii="Times New Roman" w:hAnsi="Times New Roman" w:cs="Times New Roman"/>
          <w:sz w:val="28"/>
          <w:szCs w:val="28"/>
        </w:rPr>
        <w:t>поселений</w:t>
      </w:r>
      <w:r w:rsidRPr="00F6616C">
        <w:rPr>
          <w:rFonts w:ascii="Times New Roman" w:hAnsi="Times New Roman" w:cs="Times New Roman"/>
          <w:sz w:val="28"/>
          <w:szCs w:val="28"/>
        </w:rPr>
        <w:t xml:space="preserve"> производится за первые два месяца квартала по итогам за отчетный месяц, в последний месяц квартала - нарастающим итогом с начала года.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 xml:space="preserve">Расчет и начисление субсидий </w:t>
      </w:r>
      <w:r w:rsidR="00D87900" w:rsidRPr="00F6616C">
        <w:rPr>
          <w:rFonts w:ascii="Times New Roman" w:hAnsi="Times New Roman" w:cs="Times New Roman"/>
          <w:sz w:val="28"/>
          <w:szCs w:val="28"/>
        </w:rPr>
        <w:t>поселениям</w:t>
      </w:r>
      <w:r w:rsidRPr="00F6616C">
        <w:rPr>
          <w:rFonts w:ascii="Times New Roman" w:hAnsi="Times New Roman" w:cs="Times New Roman"/>
          <w:sz w:val="28"/>
          <w:szCs w:val="28"/>
        </w:rPr>
        <w:t xml:space="preserve"> осуществляет главный распорядитель в соответствии с </w:t>
      </w:r>
      <w:hyperlink w:anchor="P4120" w:history="1">
        <w:r w:rsidRPr="00F6616C">
          <w:rPr>
            <w:rFonts w:ascii="Times New Roman" w:hAnsi="Times New Roman" w:cs="Times New Roman"/>
            <w:color w:val="0000FF"/>
            <w:sz w:val="28"/>
            <w:szCs w:val="28"/>
          </w:rPr>
          <w:t>примером</w:t>
        </w:r>
      </w:hyperlink>
      <w:r w:rsidRPr="00F6616C">
        <w:rPr>
          <w:rFonts w:ascii="Times New Roman" w:hAnsi="Times New Roman" w:cs="Times New Roman"/>
          <w:sz w:val="28"/>
          <w:szCs w:val="28"/>
        </w:rPr>
        <w:t xml:space="preserve"> расчета и начисления согласно приложению </w:t>
      </w:r>
      <w:r w:rsidR="00D87900" w:rsidRPr="00F6616C">
        <w:rPr>
          <w:rFonts w:ascii="Times New Roman" w:hAnsi="Times New Roman" w:cs="Times New Roman"/>
          <w:sz w:val="28"/>
          <w:szCs w:val="28"/>
        </w:rPr>
        <w:t>2</w:t>
      </w:r>
      <w:r w:rsidRPr="00F6616C">
        <w:rPr>
          <w:rFonts w:ascii="Times New Roman" w:hAnsi="Times New Roman" w:cs="Times New Roman"/>
          <w:sz w:val="28"/>
          <w:szCs w:val="28"/>
        </w:rPr>
        <w:t>.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 xml:space="preserve">Главный распорядитель ежемесячно, в срок до 10 числа месяца, перечисляет бюджетам </w:t>
      </w:r>
      <w:r w:rsidR="00D87900" w:rsidRPr="00F6616C">
        <w:rPr>
          <w:rFonts w:ascii="Times New Roman" w:hAnsi="Times New Roman" w:cs="Times New Roman"/>
          <w:sz w:val="28"/>
          <w:szCs w:val="28"/>
        </w:rPr>
        <w:t>поселений</w:t>
      </w:r>
      <w:r w:rsidRPr="00F6616C">
        <w:rPr>
          <w:rFonts w:ascii="Times New Roman" w:hAnsi="Times New Roman" w:cs="Times New Roman"/>
          <w:sz w:val="28"/>
          <w:szCs w:val="28"/>
        </w:rPr>
        <w:t xml:space="preserve"> субсидии в размере 60 процентов от плановой месячной суммы субсидий и в срок до 25 числа месяца сумму разницы между фактически начисленными и перечисленными суммами субсидий за отчетный период.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 xml:space="preserve">14. Если начисленная по итогам расчетов за месяц (квартал) субсидия превышает плановую субсидию, то перечисление сверхплановой субсидии производится за счет резерва субсидий, предоставляемых сверх объемов, утвержденных </w:t>
      </w:r>
      <w:r w:rsidR="00D87900" w:rsidRPr="00F6616C">
        <w:rPr>
          <w:rFonts w:ascii="Times New Roman" w:hAnsi="Times New Roman" w:cs="Times New Roman"/>
          <w:sz w:val="28"/>
          <w:szCs w:val="28"/>
        </w:rPr>
        <w:t>Решением Совета депутатов Атяшевского муниципального района</w:t>
      </w:r>
      <w:r w:rsidRPr="00F6616C">
        <w:rPr>
          <w:rFonts w:ascii="Times New Roman" w:hAnsi="Times New Roman" w:cs="Times New Roman"/>
          <w:sz w:val="28"/>
          <w:szCs w:val="28"/>
        </w:rPr>
        <w:t xml:space="preserve"> о бюджете </w:t>
      </w:r>
      <w:r w:rsidR="00D87900" w:rsidRPr="00F6616C">
        <w:rPr>
          <w:rFonts w:ascii="Times New Roman" w:hAnsi="Times New Roman" w:cs="Times New Roman"/>
          <w:sz w:val="28"/>
          <w:szCs w:val="28"/>
        </w:rPr>
        <w:t>Атяшевского муниципального района</w:t>
      </w:r>
      <w:r w:rsidRPr="00F6616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>Если фактически перечисленная сумма субсидии меньше начисленной по итогам расчетов за отчетный финансовый год, то перечисление недостающей суммы субсидии производится в текущем финансовом году.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>Если фактически перечисленная сумма субсидии превышает начисленную по итогам расчетов за отчетный финансовый год, то ежемесячно начисляемая сумма субсидии в текущем финансовом году уменьшается равными долями в течение девяти месяцев на сумму излишне перечисленных средств.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 xml:space="preserve">15. Перечисление денежных средств осуществляется с единого счета </w:t>
      </w:r>
      <w:r w:rsidRPr="00F6616C">
        <w:rPr>
          <w:rFonts w:ascii="Times New Roman" w:hAnsi="Times New Roman" w:cs="Times New Roman"/>
          <w:sz w:val="28"/>
          <w:szCs w:val="28"/>
        </w:rPr>
        <w:lastRenderedPageBreak/>
        <w:t xml:space="preserve">бюджета </w:t>
      </w:r>
      <w:r w:rsidR="00D87900" w:rsidRPr="00F6616C">
        <w:rPr>
          <w:rFonts w:ascii="Times New Roman" w:hAnsi="Times New Roman" w:cs="Times New Roman"/>
          <w:sz w:val="28"/>
          <w:szCs w:val="28"/>
        </w:rPr>
        <w:t>Атяшевского муниципального района</w:t>
      </w:r>
      <w:r w:rsidRPr="00F6616C">
        <w:rPr>
          <w:rFonts w:ascii="Times New Roman" w:hAnsi="Times New Roman" w:cs="Times New Roman"/>
          <w:sz w:val="28"/>
          <w:szCs w:val="28"/>
        </w:rPr>
        <w:t xml:space="preserve"> на счет бюджета </w:t>
      </w:r>
      <w:r w:rsidR="00D87900" w:rsidRPr="00F6616C">
        <w:rPr>
          <w:rFonts w:ascii="Times New Roman" w:hAnsi="Times New Roman" w:cs="Times New Roman"/>
          <w:sz w:val="28"/>
          <w:szCs w:val="28"/>
        </w:rPr>
        <w:t>поселения</w:t>
      </w:r>
      <w:r w:rsidRPr="00F6616C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hyperlink r:id="rId7" w:history="1">
        <w:r w:rsidRPr="00F6616C">
          <w:rPr>
            <w:rFonts w:ascii="Times New Roman" w:hAnsi="Times New Roman" w:cs="Times New Roman"/>
            <w:color w:val="0000FF"/>
            <w:sz w:val="28"/>
            <w:szCs w:val="28"/>
          </w:rPr>
          <w:t>статьей 219</w:t>
        </w:r>
      </w:hyperlink>
      <w:r w:rsidRPr="00F6616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 xml:space="preserve">16. </w:t>
      </w:r>
      <w:r w:rsidR="00D87900" w:rsidRPr="00F6616C">
        <w:rPr>
          <w:rFonts w:ascii="Times New Roman" w:hAnsi="Times New Roman" w:cs="Times New Roman"/>
          <w:sz w:val="28"/>
          <w:szCs w:val="28"/>
        </w:rPr>
        <w:t>Поселения</w:t>
      </w:r>
      <w:r w:rsidRPr="00F6616C">
        <w:rPr>
          <w:rFonts w:ascii="Times New Roman" w:hAnsi="Times New Roman" w:cs="Times New Roman"/>
          <w:sz w:val="28"/>
          <w:szCs w:val="28"/>
        </w:rPr>
        <w:t xml:space="preserve"> не позднее 1 апреля года, следующего за отчетным годом, представляют главному распорядителю </w:t>
      </w:r>
      <w:hyperlink w:anchor="P4270" w:history="1">
        <w:r w:rsidRPr="00F6616C">
          <w:rPr>
            <w:rFonts w:ascii="Times New Roman" w:hAnsi="Times New Roman" w:cs="Times New Roman"/>
            <w:color w:val="0000FF"/>
            <w:sz w:val="28"/>
            <w:szCs w:val="28"/>
          </w:rPr>
          <w:t>отчет</w:t>
        </w:r>
      </w:hyperlink>
      <w:r w:rsidRPr="00F6616C">
        <w:rPr>
          <w:rFonts w:ascii="Times New Roman" w:hAnsi="Times New Roman" w:cs="Times New Roman"/>
          <w:sz w:val="28"/>
          <w:szCs w:val="28"/>
        </w:rPr>
        <w:t xml:space="preserve"> о целевом использовании субсидий по форме согласно приложению </w:t>
      </w:r>
      <w:r w:rsidR="00CF6E81" w:rsidRPr="00F6616C">
        <w:rPr>
          <w:rFonts w:ascii="Times New Roman" w:hAnsi="Times New Roman" w:cs="Times New Roman"/>
          <w:sz w:val="28"/>
          <w:szCs w:val="28"/>
        </w:rPr>
        <w:t>3</w:t>
      </w:r>
      <w:r w:rsidRPr="00F6616C">
        <w:rPr>
          <w:rFonts w:ascii="Times New Roman" w:hAnsi="Times New Roman" w:cs="Times New Roman"/>
          <w:sz w:val="28"/>
          <w:szCs w:val="28"/>
        </w:rPr>
        <w:t>.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 xml:space="preserve">17. В случае нецелевого использования субсидии подлежат взысканию в доход бюджета </w:t>
      </w:r>
      <w:r w:rsidR="00CF6E81" w:rsidRPr="00F6616C">
        <w:rPr>
          <w:rFonts w:ascii="Times New Roman" w:hAnsi="Times New Roman" w:cs="Times New Roman"/>
          <w:sz w:val="28"/>
          <w:szCs w:val="28"/>
        </w:rPr>
        <w:t>Атяшевского муниципального района</w:t>
      </w:r>
      <w:r w:rsidRPr="00F6616C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Федерации.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16C">
        <w:rPr>
          <w:rFonts w:ascii="Times New Roman" w:hAnsi="Times New Roman" w:cs="Times New Roman"/>
          <w:sz w:val="28"/>
          <w:szCs w:val="28"/>
        </w:rPr>
        <w:t xml:space="preserve">18. Контроль за соблюдением </w:t>
      </w:r>
      <w:r w:rsidR="00CF6E81" w:rsidRPr="00F6616C">
        <w:rPr>
          <w:rFonts w:ascii="Times New Roman" w:hAnsi="Times New Roman" w:cs="Times New Roman"/>
          <w:sz w:val="28"/>
          <w:szCs w:val="28"/>
        </w:rPr>
        <w:t>поселениями</w:t>
      </w:r>
      <w:r w:rsidRPr="00F6616C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субсидий осуществляется главным распорядителем и органами </w:t>
      </w:r>
      <w:r w:rsidR="00CF6E81" w:rsidRPr="00F6616C">
        <w:rPr>
          <w:rFonts w:ascii="Times New Roman" w:hAnsi="Times New Roman" w:cs="Times New Roman"/>
          <w:sz w:val="28"/>
          <w:szCs w:val="28"/>
        </w:rPr>
        <w:t>муниципального</w:t>
      </w:r>
      <w:r w:rsidRPr="00F6616C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623" w:rsidRPr="00F6616C" w:rsidRDefault="00AF4623" w:rsidP="00F661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623" w:rsidRDefault="00AF4623" w:rsidP="00F6616C">
      <w:pPr>
        <w:pStyle w:val="ConsPlusNormal"/>
        <w:ind w:firstLine="709"/>
        <w:jc w:val="both"/>
      </w:pPr>
    </w:p>
    <w:p w:rsidR="00AF4623" w:rsidRDefault="00AF4623">
      <w:pPr>
        <w:sectPr w:rsidR="00AF4623" w:rsidSect="00F6616C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AF4623" w:rsidRPr="00F6616C" w:rsidRDefault="00CF6E81" w:rsidP="00CF6E81">
      <w:pPr>
        <w:pStyle w:val="ConsPlusNormal"/>
        <w:ind w:left="6372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616C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F4623" w:rsidRPr="00F661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D3D5C" w:rsidRPr="00F6616C">
        <w:rPr>
          <w:rFonts w:ascii="Times New Roman" w:hAnsi="Times New Roman" w:cs="Times New Roman"/>
          <w:sz w:val="24"/>
          <w:szCs w:val="24"/>
        </w:rPr>
        <w:t>1</w:t>
      </w:r>
    </w:p>
    <w:p w:rsidR="00CF6E81" w:rsidRPr="00F6616C" w:rsidRDefault="00F6616C" w:rsidP="00CF6E81">
      <w:pPr>
        <w:pStyle w:val="ConsPlusTitle"/>
        <w:ind w:left="9204" w:firstLine="708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</w:t>
      </w:r>
      <w:r w:rsidR="00CF6E81" w:rsidRPr="00F6616C">
        <w:rPr>
          <w:rFonts w:ascii="Times New Roman" w:hAnsi="Times New Roman" w:cs="Times New Roman"/>
          <w:b w:val="0"/>
          <w:bCs/>
          <w:sz w:val="24"/>
          <w:szCs w:val="24"/>
        </w:rPr>
        <w:t>к Порядку предоставления бюджетам поселений</w:t>
      </w:r>
    </w:p>
    <w:p w:rsidR="00CF6E81" w:rsidRPr="00F6616C" w:rsidRDefault="00F6616C" w:rsidP="00CF6E81">
      <w:pPr>
        <w:pStyle w:val="ConsPlusTitle"/>
        <w:ind w:left="9204" w:firstLine="708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</w:t>
      </w:r>
      <w:r w:rsidR="00CF6E81" w:rsidRPr="00F6616C">
        <w:rPr>
          <w:rFonts w:ascii="Times New Roman" w:hAnsi="Times New Roman" w:cs="Times New Roman"/>
          <w:b w:val="0"/>
          <w:bCs/>
          <w:sz w:val="24"/>
          <w:szCs w:val="24"/>
        </w:rPr>
        <w:t xml:space="preserve">Атяшевского муниципального района субсидий, </w:t>
      </w:r>
    </w:p>
    <w:p w:rsidR="00CF6E81" w:rsidRPr="00F6616C" w:rsidRDefault="00CF6E81" w:rsidP="00CF6E81">
      <w:pPr>
        <w:pStyle w:val="ConsPlusTitle"/>
        <w:ind w:left="9204" w:firstLine="708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F6616C">
        <w:rPr>
          <w:rFonts w:ascii="Times New Roman" w:hAnsi="Times New Roman" w:cs="Times New Roman"/>
          <w:b w:val="0"/>
          <w:bCs/>
          <w:sz w:val="24"/>
          <w:szCs w:val="24"/>
        </w:rPr>
        <w:t xml:space="preserve">выплачиваемых в зависимости от выполнения </w:t>
      </w:r>
    </w:p>
    <w:p w:rsidR="00CF6E81" w:rsidRPr="00F6616C" w:rsidRDefault="00F6616C" w:rsidP="00F6616C">
      <w:pPr>
        <w:pStyle w:val="ConsPlusTitle"/>
        <w:ind w:left="9204" w:firstLine="708"/>
        <w:rPr>
          <w:rFonts w:ascii="Times New Roman" w:hAnsi="Times New Roman" w:cs="Times New Roman"/>
          <w:b w:val="0"/>
          <w:bCs/>
          <w:sz w:val="24"/>
          <w:szCs w:val="24"/>
        </w:rPr>
      </w:pPr>
      <w:r>
        <w:rPr>
          <w:rFonts w:ascii="Times New Roman" w:hAnsi="Times New Roman" w:cs="Times New Roman"/>
          <w:b w:val="0"/>
          <w:bCs/>
          <w:sz w:val="24"/>
          <w:szCs w:val="24"/>
        </w:rPr>
        <w:t xml:space="preserve">      </w:t>
      </w:r>
      <w:r w:rsidR="00CF6E81" w:rsidRPr="00F6616C">
        <w:rPr>
          <w:rFonts w:ascii="Times New Roman" w:hAnsi="Times New Roman" w:cs="Times New Roman"/>
          <w:b w:val="0"/>
          <w:bCs/>
          <w:sz w:val="24"/>
          <w:szCs w:val="24"/>
        </w:rPr>
        <w:t>социально-экономических показателей</w:t>
      </w:r>
    </w:p>
    <w:p w:rsidR="00AF4623" w:rsidRPr="00F6616C" w:rsidRDefault="00AF4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4623" w:rsidRPr="00C54FA9" w:rsidRDefault="00AF4623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bookmarkStart w:id="4" w:name="P493"/>
      <w:bookmarkEnd w:id="4"/>
      <w:r w:rsidRPr="00C54FA9">
        <w:rPr>
          <w:rFonts w:ascii="Times New Roman" w:hAnsi="Times New Roman" w:cs="Times New Roman"/>
          <w:b w:val="0"/>
          <w:bCs/>
          <w:sz w:val="24"/>
          <w:szCs w:val="24"/>
        </w:rPr>
        <w:t>П</w:t>
      </w:r>
      <w:r w:rsidR="00C54FA9" w:rsidRPr="00C54FA9">
        <w:rPr>
          <w:rFonts w:ascii="Times New Roman" w:hAnsi="Times New Roman" w:cs="Times New Roman"/>
          <w:b w:val="0"/>
          <w:bCs/>
          <w:sz w:val="24"/>
          <w:szCs w:val="24"/>
        </w:rPr>
        <w:t>лановые доли показателей социально – экономического развития по поселениям</w:t>
      </w:r>
    </w:p>
    <w:p w:rsidR="00AF4623" w:rsidRPr="00C54FA9" w:rsidRDefault="00C54FA9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C54FA9">
        <w:rPr>
          <w:rFonts w:ascii="Times New Roman" w:hAnsi="Times New Roman" w:cs="Times New Roman"/>
          <w:b w:val="0"/>
          <w:bCs/>
          <w:sz w:val="24"/>
          <w:szCs w:val="24"/>
        </w:rPr>
        <w:t xml:space="preserve">на </w:t>
      </w:r>
      <w:r w:rsidR="00AF4623" w:rsidRPr="00C54FA9">
        <w:rPr>
          <w:rFonts w:ascii="Times New Roman" w:hAnsi="Times New Roman" w:cs="Times New Roman"/>
          <w:b w:val="0"/>
          <w:bCs/>
          <w:sz w:val="24"/>
          <w:szCs w:val="24"/>
        </w:rPr>
        <w:t>20</w:t>
      </w:r>
      <w:r w:rsidR="00CF6E81" w:rsidRPr="00C54FA9">
        <w:rPr>
          <w:rFonts w:ascii="Times New Roman" w:hAnsi="Times New Roman" w:cs="Times New Roman"/>
          <w:b w:val="0"/>
          <w:bCs/>
          <w:sz w:val="24"/>
          <w:szCs w:val="24"/>
        </w:rPr>
        <w:t>______</w:t>
      </w:r>
      <w:r w:rsidR="00AF4623" w:rsidRPr="00C54FA9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Pr="00C54FA9">
        <w:rPr>
          <w:rFonts w:ascii="Times New Roman" w:hAnsi="Times New Roman" w:cs="Times New Roman"/>
          <w:b w:val="0"/>
          <w:bCs/>
          <w:sz w:val="24"/>
          <w:szCs w:val="24"/>
        </w:rPr>
        <w:t>год</w:t>
      </w:r>
    </w:p>
    <w:p w:rsidR="00AF4623" w:rsidRPr="00F6616C" w:rsidRDefault="00AF462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1895"/>
        <w:gridCol w:w="1191"/>
        <w:gridCol w:w="1191"/>
        <w:gridCol w:w="1191"/>
        <w:gridCol w:w="1191"/>
        <w:gridCol w:w="3174"/>
        <w:gridCol w:w="1191"/>
        <w:gridCol w:w="1191"/>
        <w:gridCol w:w="1134"/>
      </w:tblGrid>
      <w:tr w:rsidR="00AF4623" w:rsidRPr="00F6616C" w:rsidTr="00CF6E81">
        <w:tc>
          <w:tcPr>
            <w:tcW w:w="2211" w:type="dxa"/>
            <w:vMerge w:val="restart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6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CF6E81" w:rsidRPr="00F6616C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1895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6C">
              <w:rPr>
                <w:rFonts w:ascii="Times New Roman" w:hAnsi="Times New Roman" w:cs="Times New Roman"/>
                <w:sz w:val="24"/>
                <w:szCs w:val="24"/>
              </w:rPr>
              <w:t>Объем собственных доходов бюджета, за исключением доходов, полученных в виде безвозмездных и безвозвратных перечислений из бюджетов других уровней и внебюджетных фондов</w:t>
            </w:r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6C">
              <w:rPr>
                <w:rFonts w:ascii="Times New Roman" w:hAnsi="Times New Roman" w:cs="Times New Roman"/>
                <w:sz w:val="24"/>
                <w:szCs w:val="24"/>
              </w:rPr>
              <w:t>Объем закупок скота и птицы от сельскохозяйственных организаций и крестьянских (фермерских) хозяйств</w:t>
            </w:r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6C">
              <w:rPr>
                <w:rFonts w:ascii="Times New Roman" w:hAnsi="Times New Roman" w:cs="Times New Roman"/>
                <w:sz w:val="24"/>
                <w:szCs w:val="24"/>
              </w:rPr>
              <w:t>Объем закупок молока от сельскохозяйственных организаций и крестьянских (фермерских) хозяйств</w:t>
            </w:r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6C">
              <w:rPr>
                <w:rFonts w:ascii="Times New Roman" w:hAnsi="Times New Roman" w:cs="Times New Roman"/>
                <w:sz w:val="24"/>
                <w:szCs w:val="24"/>
              </w:rPr>
              <w:t>Сохранность поголовья скота (КРС) в сельскохозяйственных организациях и крестьянско (фермерских) хозяйствах</w:t>
            </w:r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6C">
              <w:rPr>
                <w:rFonts w:ascii="Times New Roman" w:hAnsi="Times New Roman" w:cs="Times New Roman"/>
                <w:sz w:val="24"/>
                <w:szCs w:val="24"/>
              </w:rPr>
              <w:t>Объем оборота розничной торговли во всех каналах реализации</w:t>
            </w:r>
          </w:p>
        </w:tc>
        <w:tc>
          <w:tcPr>
            <w:tcW w:w="3174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6C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</w:t>
            </w:r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6C">
              <w:rPr>
                <w:rFonts w:ascii="Times New Roman" w:hAnsi="Times New Roman" w:cs="Times New Roman"/>
                <w:sz w:val="24"/>
                <w:szCs w:val="24"/>
              </w:rPr>
              <w:t>Темп роста среднемесячной номинальной начисленной заработной платы</w:t>
            </w:r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6C">
              <w:rPr>
                <w:rFonts w:ascii="Times New Roman" w:hAnsi="Times New Roman" w:cs="Times New Roman"/>
                <w:sz w:val="24"/>
                <w:szCs w:val="24"/>
              </w:rPr>
              <w:t>Общая площадь введенного в эксплуатацию жилья с учетом индивидуального жилищного строительства</w:t>
            </w:r>
          </w:p>
        </w:tc>
        <w:tc>
          <w:tcPr>
            <w:tcW w:w="1134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6C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</w:t>
            </w:r>
          </w:p>
        </w:tc>
      </w:tr>
      <w:tr w:rsidR="00AF4623" w:rsidRPr="00F6616C" w:rsidTr="00CF6E81">
        <w:tc>
          <w:tcPr>
            <w:tcW w:w="2211" w:type="dxa"/>
            <w:vMerge/>
          </w:tcPr>
          <w:p w:rsidR="00AF4623" w:rsidRPr="00F6616C" w:rsidRDefault="00AF4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5" w:type="dxa"/>
          </w:tcPr>
          <w:p w:rsidR="00AF4623" w:rsidRPr="00F6616C" w:rsidRDefault="00E66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92" w:history="1">
              <w:r w:rsidR="00AF4623" w:rsidRPr="00F661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91" w:type="dxa"/>
          </w:tcPr>
          <w:p w:rsidR="00AF4623" w:rsidRPr="00F6616C" w:rsidRDefault="00E66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93" w:history="1">
              <w:r w:rsidR="00AF4623" w:rsidRPr="00F661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91" w:type="dxa"/>
          </w:tcPr>
          <w:p w:rsidR="00AF4623" w:rsidRPr="00F6616C" w:rsidRDefault="00E66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92" w:history="1">
              <w:r w:rsidR="00AF4623" w:rsidRPr="00F661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91" w:type="dxa"/>
          </w:tcPr>
          <w:p w:rsidR="00AF4623" w:rsidRPr="00F6616C" w:rsidRDefault="00E66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93" w:history="1">
              <w:r w:rsidR="00AF4623" w:rsidRPr="00F661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91" w:type="dxa"/>
          </w:tcPr>
          <w:p w:rsidR="00AF4623" w:rsidRPr="00F6616C" w:rsidRDefault="00E66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92" w:history="1">
              <w:r w:rsidR="00AF4623" w:rsidRPr="00F661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174" w:type="dxa"/>
          </w:tcPr>
          <w:p w:rsidR="00AF4623" w:rsidRPr="00F6616C" w:rsidRDefault="00E66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92" w:history="1">
              <w:r w:rsidR="00AF4623" w:rsidRPr="00F661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191" w:type="dxa"/>
          </w:tcPr>
          <w:p w:rsidR="00AF4623" w:rsidRPr="00F6616C" w:rsidRDefault="00E66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93" w:history="1">
              <w:r w:rsidR="00AF4623" w:rsidRPr="00F661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91" w:type="dxa"/>
          </w:tcPr>
          <w:p w:rsidR="00AF4623" w:rsidRPr="00F6616C" w:rsidRDefault="00E66C2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4093" w:history="1">
              <w:r w:rsidR="00AF4623" w:rsidRPr="00F6616C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1134" w:type="dxa"/>
          </w:tcPr>
          <w:p w:rsidR="00AF4623" w:rsidRPr="00F6616C" w:rsidRDefault="00AF46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623" w:rsidRPr="00F6616C" w:rsidTr="00CF6E81">
        <w:tc>
          <w:tcPr>
            <w:tcW w:w="2211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5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4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1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CF6E81" w:rsidRPr="00F6616C" w:rsidRDefault="00CF6E81" w:rsidP="00CF6E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6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F6E81" w:rsidRPr="00F6616C" w:rsidRDefault="00CF6E81" w:rsidP="00CF6E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092"/>
      <w:bookmarkEnd w:id="5"/>
      <w:r w:rsidRPr="00F6616C">
        <w:rPr>
          <w:rFonts w:ascii="Times New Roman" w:hAnsi="Times New Roman" w:cs="Times New Roman"/>
          <w:sz w:val="24"/>
          <w:szCs w:val="24"/>
        </w:rPr>
        <w:t>&lt;*&gt; Итоги по показателю подводятся ежемесячно.</w:t>
      </w:r>
    </w:p>
    <w:p w:rsidR="00CF6E81" w:rsidRPr="00F6616C" w:rsidRDefault="00CF6E81" w:rsidP="00CF6E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4093"/>
      <w:bookmarkEnd w:id="6"/>
      <w:r w:rsidRPr="00F6616C">
        <w:rPr>
          <w:rFonts w:ascii="Times New Roman" w:hAnsi="Times New Roman" w:cs="Times New Roman"/>
          <w:sz w:val="24"/>
          <w:szCs w:val="24"/>
        </w:rPr>
        <w:t>&lt;**&gt; Итоги по показателю подводятся ежеквартально.</w:t>
      </w:r>
    </w:p>
    <w:p w:rsidR="00CF6E81" w:rsidRPr="00F6616C" w:rsidRDefault="00CF6E81" w:rsidP="00CF6E81">
      <w:pPr>
        <w:tabs>
          <w:tab w:val="left" w:pos="6390"/>
        </w:tabs>
        <w:rPr>
          <w:rFonts w:ascii="Times New Roman" w:hAnsi="Times New Roman" w:cs="Times New Roman"/>
          <w:sz w:val="24"/>
          <w:szCs w:val="24"/>
        </w:rPr>
        <w:sectPr w:rsidR="00CF6E81" w:rsidRPr="00F6616C" w:rsidSect="00CF6E81">
          <w:pgSz w:w="16838" w:h="11905" w:orient="landscape"/>
          <w:pgMar w:top="567" w:right="567" w:bottom="851" w:left="851" w:header="0" w:footer="0" w:gutter="0"/>
          <w:cols w:space="720"/>
        </w:sectPr>
      </w:pPr>
      <w:r w:rsidRPr="00F6616C">
        <w:rPr>
          <w:rFonts w:ascii="Times New Roman" w:hAnsi="Times New Roman" w:cs="Times New Roman"/>
          <w:sz w:val="24"/>
          <w:szCs w:val="24"/>
        </w:rPr>
        <w:tab/>
      </w:r>
    </w:p>
    <w:p w:rsidR="00AF4623" w:rsidRPr="00F6616C" w:rsidRDefault="00F6616C" w:rsidP="00F6616C">
      <w:pPr>
        <w:pStyle w:val="ConsPlusNormal"/>
        <w:ind w:left="8496"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AF4623" w:rsidRPr="00F6616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87900" w:rsidRPr="00F6616C">
        <w:rPr>
          <w:rFonts w:ascii="Times New Roman" w:hAnsi="Times New Roman" w:cs="Times New Roman"/>
          <w:sz w:val="24"/>
          <w:szCs w:val="24"/>
        </w:rPr>
        <w:t>2</w:t>
      </w:r>
    </w:p>
    <w:p w:rsidR="00F6616C" w:rsidRDefault="00F6616C" w:rsidP="00F6616C">
      <w:pPr>
        <w:pStyle w:val="ConsPlusNormal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F4623" w:rsidRPr="00F6616C"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  <w:r w:rsidR="00CF6E81" w:rsidRPr="00F6616C">
        <w:rPr>
          <w:rFonts w:ascii="Times New Roman" w:hAnsi="Times New Roman" w:cs="Times New Roman"/>
          <w:sz w:val="24"/>
          <w:szCs w:val="24"/>
        </w:rPr>
        <w:t xml:space="preserve">бюджетам поселений </w:t>
      </w:r>
    </w:p>
    <w:p w:rsidR="00AF4623" w:rsidRPr="00F6616C" w:rsidRDefault="00F6616C" w:rsidP="00F6616C">
      <w:pPr>
        <w:pStyle w:val="ConsPlusNormal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F6E81" w:rsidRPr="00F6616C">
        <w:rPr>
          <w:rFonts w:ascii="Times New Roman" w:hAnsi="Times New Roman" w:cs="Times New Roman"/>
          <w:sz w:val="24"/>
          <w:szCs w:val="24"/>
        </w:rPr>
        <w:t xml:space="preserve">Атяшевского муниципального района </w:t>
      </w:r>
      <w:r w:rsidR="00AF4623" w:rsidRPr="00F6616C">
        <w:rPr>
          <w:rFonts w:ascii="Times New Roman" w:hAnsi="Times New Roman" w:cs="Times New Roman"/>
          <w:sz w:val="24"/>
          <w:szCs w:val="24"/>
        </w:rPr>
        <w:t>субсидий,</w:t>
      </w:r>
    </w:p>
    <w:p w:rsidR="00AF4623" w:rsidRPr="00F6616C" w:rsidRDefault="00AF4623" w:rsidP="00C21E45">
      <w:pPr>
        <w:pStyle w:val="ConsPlusNormal"/>
        <w:ind w:left="778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6616C">
        <w:rPr>
          <w:rFonts w:ascii="Times New Roman" w:hAnsi="Times New Roman" w:cs="Times New Roman"/>
          <w:sz w:val="24"/>
          <w:szCs w:val="24"/>
        </w:rPr>
        <w:t>выплачиваемых в зависимости от выполнения</w:t>
      </w:r>
    </w:p>
    <w:p w:rsidR="00AF4623" w:rsidRPr="00F6616C" w:rsidRDefault="00AF4623" w:rsidP="00C21E45">
      <w:pPr>
        <w:pStyle w:val="ConsPlusNormal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6616C">
        <w:rPr>
          <w:rFonts w:ascii="Times New Roman" w:hAnsi="Times New Roman" w:cs="Times New Roman"/>
          <w:sz w:val="24"/>
          <w:szCs w:val="24"/>
        </w:rPr>
        <w:t>социально-экономических показателей</w:t>
      </w:r>
    </w:p>
    <w:p w:rsidR="00AF4623" w:rsidRPr="00F6616C" w:rsidRDefault="00AF4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P4120"/>
      <w:bookmarkEnd w:id="7"/>
    </w:p>
    <w:p w:rsidR="00AF4623" w:rsidRPr="00C54FA9" w:rsidRDefault="00AF4623" w:rsidP="00C21E45">
      <w:pPr>
        <w:pStyle w:val="ConsPlusTitle"/>
        <w:jc w:val="center"/>
        <w:rPr>
          <w:rFonts w:ascii="Times New Roman" w:hAnsi="Times New Roman" w:cs="Times New Roman"/>
          <w:b w:val="0"/>
          <w:bCs/>
          <w:sz w:val="24"/>
          <w:szCs w:val="24"/>
        </w:rPr>
      </w:pPr>
      <w:r w:rsidRPr="00C54FA9">
        <w:rPr>
          <w:rFonts w:ascii="Times New Roman" w:hAnsi="Times New Roman" w:cs="Times New Roman"/>
          <w:b w:val="0"/>
          <w:bCs/>
          <w:sz w:val="24"/>
          <w:szCs w:val="24"/>
        </w:rPr>
        <w:t>П</w:t>
      </w:r>
      <w:r w:rsidR="00BE58BE" w:rsidRPr="00C54FA9">
        <w:rPr>
          <w:rFonts w:ascii="Times New Roman" w:hAnsi="Times New Roman" w:cs="Times New Roman"/>
          <w:b w:val="0"/>
          <w:bCs/>
          <w:sz w:val="24"/>
          <w:szCs w:val="24"/>
        </w:rPr>
        <w:t>ример расчета и начисления субсидий, выплачиваемых в зависимости от выполнения социально – экономических показателей</w:t>
      </w:r>
    </w:p>
    <w:tbl>
      <w:tblPr>
        <w:tblW w:w="15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5"/>
        <w:gridCol w:w="1247"/>
        <w:gridCol w:w="1446"/>
        <w:gridCol w:w="1191"/>
        <w:gridCol w:w="1191"/>
        <w:gridCol w:w="1502"/>
        <w:gridCol w:w="1162"/>
        <w:gridCol w:w="1247"/>
        <w:gridCol w:w="1984"/>
      </w:tblGrid>
      <w:tr w:rsidR="00AF4623" w:rsidRPr="00F6616C" w:rsidTr="00BE58BE">
        <w:trPr>
          <w:trHeight w:val="20"/>
        </w:trPr>
        <w:tc>
          <w:tcPr>
            <w:tcW w:w="4815" w:type="dxa"/>
            <w:vMerge w:val="restart"/>
          </w:tcPr>
          <w:p w:rsidR="00AF4623" w:rsidRPr="00F6616C" w:rsidRDefault="00AF4623" w:rsidP="00C21E45">
            <w:pPr>
              <w:pStyle w:val="ConsPlusNormal"/>
              <w:keepLines/>
              <w:widowControl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Наименование показателей</w:t>
            </w:r>
          </w:p>
        </w:tc>
        <w:tc>
          <w:tcPr>
            <w:tcW w:w="2693" w:type="dxa"/>
            <w:gridSpan w:val="2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Прогноз</w:t>
            </w:r>
          </w:p>
        </w:tc>
        <w:tc>
          <w:tcPr>
            <w:tcW w:w="1191" w:type="dxa"/>
            <w:vMerge w:val="restart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Фактическое выполнение прогноза</w:t>
            </w:r>
          </w:p>
        </w:tc>
        <w:tc>
          <w:tcPr>
            <w:tcW w:w="2693" w:type="dxa"/>
            <w:gridSpan w:val="2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% выполнения</w:t>
            </w:r>
          </w:p>
        </w:tc>
        <w:tc>
          <w:tcPr>
            <w:tcW w:w="1162" w:type="dxa"/>
            <w:vMerge w:val="restart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Плановая доля показателя в сумме субсидии</w:t>
            </w:r>
          </w:p>
        </w:tc>
        <w:tc>
          <w:tcPr>
            <w:tcW w:w="1247" w:type="dxa"/>
            <w:vMerge w:val="restart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Плановая сумма субсидии, тыс. руб.</w:t>
            </w:r>
          </w:p>
        </w:tc>
        <w:tc>
          <w:tcPr>
            <w:tcW w:w="1984" w:type="dxa"/>
            <w:vMerge w:val="restart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Фактическая сумма субсидии за выполнение социально-экономических показателей, тыс. руб.</w:t>
            </w:r>
          </w:p>
        </w:tc>
      </w:tr>
      <w:tr w:rsidR="00AF4623" w:rsidRPr="00F6616C" w:rsidTr="00BE58BE">
        <w:trPr>
          <w:trHeight w:val="20"/>
        </w:trPr>
        <w:tc>
          <w:tcPr>
            <w:tcW w:w="4815" w:type="dxa"/>
            <w:vMerge/>
          </w:tcPr>
          <w:p w:rsidR="00AF4623" w:rsidRPr="00F6616C" w:rsidRDefault="00AF462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7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оптимально напряженный</w:t>
            </w:r>
          </w:p>
        </w:tc>
        <w:tc>
          <w:tcPr>
            <w:tcW w:w="1446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утвержденный решением районного совета депутатов</w:t>
            </w:r>
          </w:p>
        </w:tc>
        <w:tc>
          <w:tcPr>
            <w:tcW w:w="1191" w:type="dxa"/>
            <w:vMerge/>
          </w:tcPr>
          <w:p w:rsidR="00AF4623" w:rsidRPr="00F6616C" w:rsidRDefault="00AF462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оптимально напряженного прогноза</w:t>
            </w:r>
          </w:p>
        </w:tc>
        <w:tc>
          <w:tcPr>
            <w:tcW w:w="1502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утвержденный решением районного совета депутатов</w:t>
            </w:r>
          </w:p>
        </w:tc>
        <w:tc>
          <w:tcPr>
            <w:tcW w:w="1162" w:type="dxa"/>
            <w:vMerge/>
          </w:tcPr>
          <w:p w:rsidR="00AF4623" w:rsidRPr="00F6616C" w:rsidRDefault="00AF462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7" w:type="dxa"/>
            <w:vMerge/>
          </w:tcPr>
          <w:p w:rsidR="00AF4623" w:rsidRPr="00F6616C" w:rsidRDefault="00AF462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  <w:vMerge/>
          </w:tcPr>
          <w:p w:rsidR="00AF4623" w:rsidRPr="00F6616C" w:rsidRDefault="00AF4623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F4623" w:rsidRPr="00F6616C" w:rsidTr="00BE58BE">
        <w:trPr>
          <w:trHeight w:val="20"/>
        </w:trPr>
        <w:tc>
          <w:tcPr>
            <w:tcW w:w="4815" w:type="dxa"/>
          </w:tcPr>
          <w:p w:rsidR="00AF4623" w:rsidRPr="00F6616C" w:rsidRDefault="00AF462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Сумма долей показателей (%)</w:t>
            </w:r>
          </w:p>
        </w:tc>
        <w:tc>
          <w:tcPr>
            <w:tcW w:w="1247" w:type="dxa"/>
          </w:tcPr>
          <w:p w:rsidR="00AF4623" w:rsidRPr="00F6616C" w:rsidRDefault="00AF462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6" w:type="dxa"/>
          </w:tcPr>
          <w:p w:rsidR="00AF4623" w:rsidRPr="00F6616C" w:rsidRDefault="00AF462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2" w:type="dxa"/>
          </w:tcPr>
          <w:p w:rsidR="00AF4623" w:rsidRPr="00F6616C" w:rsidRDefault="00AF462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2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110</w:t>
            </w:r>
          </w:p>
        </w:tc>
        <w:tc>
          <w:tcPr>
            <w:tcW w:w="1247" w:type="dxa"/>
          </w:tcPr>
          <w:p w:rsidR="00AF4623" w:rsidRPr="00F6616C" w:rsidRDefault="00AF462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84" w:type="dxa"/>
          </w:tcPr>
          <w:p w:rsidR="00AF4623" w:rsidRPr="00F6616C" w:rsidRDefault="00AF462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F4623" w:rsidRPr="00F6616C" w:rsidTr="00BE58BE">
        <w:trPr>
          <w:trHeight w:val="20"/>
        </w:trPr>
        <w:tc>
          <w:tcPr>
            <w:tcW w:w="4815" w:type="dxa"/>
          </w:tcPr>
          <w:p w:rsidR="00AF4623" w:rsidRPr="00F6616C" w:rsidRDefault="00AF462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Объем собственных доходов бюджета, за исключением доходов, полученных в виде безвозмездных и безвозвратных перечислений из бюджетов других уровней и внебюджетных фондов (тыс. руб.)</w:t>
            </w:r>
          </w:p>
        </w:tc>
        <w:tc>
          <w:tcPr>
            <w:tcW w:w="1247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113000</w:t>
            </w:r>
          </w:p>
        </w:tc>
        <w:tc>
          <w:tcPr>
            <w:tcW w:w="1446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113000</w:t>
            </w:r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112800</w:t>
            </w:r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99,8</w:t>
            </w:r>
          </w:p>
        </w:tc>
        <w:tc>
          <w:tcPr>
            <w:tcW w:w="1502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99,8</w:t>
            </w:r>
          </w:p>
        </w:tc>
        <w:tc>
          <w:tcPr>
            <w:tcW w:w="1162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25</w:t>
            </w:r>
          </w:p>
        </w:tc>
        <w:tc>
          <w:tcPr>
            <w:tcW w:w="1247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15041 (66180: 110 x 25)</w:t>
            </w:r>
          </w:p>
        </w:tc>
        <w:tc>
          <w:tcPr>
            <w:tcW w:w="1984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15011 (15041 x 99,8 : 100)</w:t>
            </w:r>
          </w:p>
        </w:tc>
      </w:tr>
      <w:tr w:rsidR="00AF4623" w:rsidRPr="00F6616C" w:rsidTr="00BE58BE">
        <w:trPr>
          <w:trHeight w:val="20"/>
        </w:trPr>
        <w:tc>
          <w:tcPr>
            <w:tcW w:w="4815" w:type="dxa"/>
          </w:tcPr>
          <w:p w:rsidR="00AF4623" w:rsidRPr="00F6616C" w:rsidRDefault="00AF462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Оценка качества управления финансами и платежеспособности муниципальных образований</w:t>
            </w:r>
          </w:p>
        </w:tc>
        <w:tc>
          <w:tcPr>
            <w:tcW w:w="1247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 xml:space="preserve">21 </w:t>
            </w:r>
            <w:hyperlink w:anchor="P4259" w:history="1">
              <w:r w:rsidRPr="00F6616C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&lt;***&gt;</w:t>
              </w:r>
            </w:hyperlink>
          </w:p>
        </w:tc>
        <w:tc>
          <w:tcPr>
            <w:tcW w:w="1446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95,2</w:t>
            </w:r>
          </w:p>
        </w:tc>
        <w:tc>
          <w:tcPr>
            <w:tcW w:w="1502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62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47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6016,4</w:t>
            </w:r>
          </w:p>
        </w:tc>
        <w:tc>
          <w:tcPr>
            <w:tcW w:w="1984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5728</w:t>
            </w:r>
          </w:p>
        </w:tc>
      </w:tr>
      <w:tr w:rsidR="00AF4623" w:rsidRPr="00F6616C" w:rsidTr="00BE58BE">
        <w:trPr>
          <w:trHeight w:val="20"/>
        </w:trPr>
        <w:tc>
          <w:tcPr>
            <w:tcW w:w="4815" w:type="dxa"/>
          </w:tcPr>
          <w:p w:rsidR="00AF4623" w:rsidRPr="00F6616C" w:rsidRDefault="00AF462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Объем закупок скота и птицы от сельскохозяйственных организаций и крестьянских (фермерских) хозяйств (тонн)</w:t>
            </w:r>
          </w:p>
        </w:tc>
        <w:tc>
          <w:tcPr>
            <w:tcW w:w="1247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835</w:t>
            </w:r>
          </w:p>
        </w:tc>
        <w:tc>
          <w:tcPr>
            <w:tcW w:w="1446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755</w:t>
            </w:r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780</w:t>
            </w:r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93,4</w:t>
            </w:r>
          </w:p>
        </w:tc>
        <w:tc>
          <w:tcPr>
            <w:tcW w:w="1502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103,3</w:t>
            </w:r>
          </w:p>
        </w:tc>
        <w:tc>
          <w:tcPr>
            <w:tcW w:w="1162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47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3008</w:t>
            </w:r>
          </w:p>
        </w:tc>
        <w:tc>
          <w:tcPr>
            <w:tcW w:w="1984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3017 (3008 x (100+ 3,3 x 0,1) : 100)</w:t>
            </w:r>
          </w:p>
        </w:tc>
      </w:tr>
      <w:tr w:rsidR="00AF4623" w:rsidRPr="00F6616C" w:rsidTr="00BE58BE">
        <w:trPr>
          <w:trHeight w:val="20"/>
        </w:trPr>
        <w:tc>
          <w:tcPr>
            <w:tcW w:w="4815" w:type="dxa"/>
          </w:tcPr>
          <w:p w:rsidR="00AF4623" w:rsidRPr="00F6616C" w:rsidRDefault="00AF462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Объем закупок молока от сельскохозяйственных организаций и крестьянских (фермерских) хозяйств (тонн)</w:t>
            </w:r>
          </w:p>
        </w:tc>
        <w:tc>
          <w:tcPr>
            <w:tcW w:w="1247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8760</w:t>
            </w:r>
          </w:p>
        </w:tc>
        <w:tc>
          <w:tcPr>
            <w:tcW w:w="1446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8760</w:t>
            </w:r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7800</w:t>
            </w:r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  <w:tc>
          <w:tcPr>
            <w:tcW w:w="1502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89</w:t>
            </w:r>
          </w:p>
        </w:tc>
        <w:tc>
          <w:tcPr>
            <w:tcW w:w="1162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247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9025</w:t>
            </w:r>
          </w:p>
        </w:tc>
        <w:tc>
          <w:tcPr>
            <w:tcW w:w="1984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8032</w:t>
            </w:r>
          </w:p>
        </w:tc>
      </w:tr>
      <w:tr w:rsidR="00AF4623" w:rsidRPr="00F6616C" w:rsidTr="00BE58BE">
        <w:trPr>
          <w:trHeight w:val="20"/>
        </w:trPr>
        <w:tc>
          <w:tcPr>
            <w:tcW w:w="4815" w:type="dxa"/>
          </w:tcPr>
          <w:p w:rsidR="00AF4623" w:rsidRPr="00F6616C" w:rsidRDefault="00AF462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Сохранность поголовья скота (КРС) в сельскохозяйственных организациях и крестьянских (фермерских) хозяйствах</w:t>
            </w:r>
          </w:p>
        </w:tc>
        <w:tc>
          <w:tcPr>
            <w:tcW w:w="1247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 xml:space="preserve">280 </w:t>
            </w:r>
            <w:hyperlink w:anchor="P4257" w:history="1">
              <w:r w:rsidRPr="00F6616C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&lt;*&gt;</w:t>
              </w:r>
            </w:hyperlink>
          </w:p>
        </w:tc>
        <w:tc>
          <w:tcPr>
            <w:tcW w:w="1446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 xml:space="preserve">280 </w:t>
            </w:r>
            <w:hyperlink w:anchor="P4257" w:history="1">
              <w:r w:rsidRPr="00F6616C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&lt;*&gt;</w:t>
              </w:r>
            </w:hyperlink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303</w:t>
            </w:r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 xml:space="preserve">108,2 </w:t>
            </w:r>
            <w:hyperlink w:anchor="P4258" w:history="1">
              <w:r w:rsidRPr="00F6616C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&lt;**&gt;</w:t>
              </w:r>
            </w:hyperlink>
          </w:p>
        </w:tc>
        <w:tc>
          <w:tcPr>
            <w:tcW w:w="1502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 xml:space="preserve">108,2 </w:t>
            </w:r>
            <w:hyperlink w:anchor="P4258" w:history="1">
              <w:r w:rsidRPr="00F6616C">
                <w:rPr>
                  <w:rFonts w:ascii="Times New Roman" w:hAnsi="Times New Roman" w:cs="Times New Roman"/>
                  <w:color w:val="0000FF"/>
                  <w:sz w:val="23"/>
                  <w:szCs w:val="23"/>
                </w:rPr>
                <w:t>&lt;**&gt;</w:t>
              </w:r>
            </w:hyperlink>
          </w:p>
        </w:tc>
        <w:tc>
          <w:tcPr>
            <w:tcW w:w="1162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1247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9025</w:t>
            </w:r>
          </w:p>
        </w:tc>
        <w:tc>
          <w:tcPr>
            <w:tcW w:w="1984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9765</w:t>
            </w:r>
          </w:p>
        </w:tc>
      </w:tr>
      <w:tr w:rsidR="00AF4623" w:rsidRPr="00F6616C" w:rsidTr="00BE58BE">
        <w:trPr>
          <w:trHeight w:val="858"/>
        </w:trPr>
        <w:tc>
          <w:tcPr>
            <w:tcW w:w="4815" w:type="dxa"/>
          </w:tcPr>
          <w:p w:rsidR="00AF4623" w:rsidRPr="00F6616C" w:rsidRDefault="00AF462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Объем оборота розничной торговли во всех каналах реализации (тыс. руб.) K = Jф : Jп (106,0 : 105,5) = 1,005</w:t>
            </w:r>
          </w:p>
        </w:tc>
        <w:tc>
          <w:tcPr>
            <w:tcW w:w="1247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180200</w:t>
            </w:r>
          </w:p>
        </w:tc>
        <w:tc>
          <w:tcPr>
            <w:tcW w:w="1446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180200</w:t>
            </w:r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254800</w:t>
            </w:r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141,4</w:t>
            </w:r>
          </w:p>
        </w:tc>
        <w:tc>
          <w:tcPr>
            <w:tcW w:w="1502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141,4</w:t>
            </w:r>
          </w:p>
        </w:tc>
        <w:tc>
          <w:tcPr>
            <w:tcW w:w="1162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47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3008</w:t>
            </w:r>
          </w:p>
        </w:tc>
        <w:tc>
          <w:tcPr>
            <w:tcW w:w="1984" w:type="dxa"/>
          </w:tcPr>
          <w:p w:rsidR="00AF4623" w:rsidRPr="00BE58BE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58BE">
              <w:rPr>
                <w:rFonts w:ascii="Times New Roman" w:hAnsi="Times New Roman" w:cs="Times New Roman"/>
                <w:szCs w:val="22"/>
              </w:rPr>
              <w:t>3401 (3008 x (((141,4: 1,005 - 110) x 0,1) + 110): 100)</w:t>
            </w:r>
          </w:p>
        </w:tc>
      </w:tr>
      <w:tr w:rsidR="00AF4623" w:rsidRPr="00F6616C" w:rsidTr="00BE58BE">
        <w:trPr>
          <w:trHeight w:val="20"/>
        </w:trPr>
        <w:tc>
          <w:tcPr>
            <w:tcW w:w="4815" w:type="dxa"/>
          </w:tcPr>
          <w:p w:rsidR="00AF4623" w:rsidRPr="00F6616C" w:rsidRDefault="00AF462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Объем отгруженных товаров собственного производства, выполненных работ и услуг собственными силами по видам экономической деятельности "Обрабатывающие производства", "Обеспечение электрической энергией, газом и паром; кондиционирование воздуха", "Водоснабжение; водоотведение, организация сбора и утилизации отходов, деятельность по ликвидации загрязнений" (тыс. руб.) K = Jф : Jп (107,1 : 110,4) = 0,97</w:t>
            </w:r>
          </w:p>
        </w:tc>
        <w:tc>
          <w:tcPr>
            <w:tcW w:w="1247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85000</w:t>
            </w:r>
          </w:p>
        </w:tc>
        <w:tc>
          <w:tcPr>
            <w:tcW w:w="1446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85000</w:t>
            </w:r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80600</w:t>
            </w:r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94,8</w:t>
            </w:r>
          </w:p>
        </w:tc>
        <w:tc>
          <w:tcPr>
            <w:tcW w:w="1502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94,8</w:t>
            </w:r>
          </w:p>
        </w:tc>
        <w:tc>
          <w:tcPr>
            <w:tcW w:w="1162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47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3008</w:t>
            </w:r>
          </w:p>
        </w:tc>
        <w:tc>
          <w:tcPr>
            <w:tcW w:w="1984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2940 (3008 x (94,8 : 0,97): 100)</w:t>
            </w:r>
          </w:p>
        </w:tc>
      </w:tr>
      <w:tr w:rsidR="00AF4623" w:rsidRPr="00F6616C" w:rsidTr="00BE58BE">
        <w:trPr>
          <w:trHeight w:val="20"/>
        </w:trPr>
        <w:tc>
          <w:tcPr>
            <w:tcW w:w="4815" w:type="dxa"/>
          </w:tcPr>
          <w:p w:rsidR="00AF4623" w:rsidRPr="00F6616C" w:rsidRDefault="00AF462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Темп роста среднемесячной номинальной начисленной заработной платы (%)</w:t>
            </w:r>
          </w:p>
        </w:tc>
        <w:tc>
          <w:tcPr>
            <w:tcW w:w="1247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113</w:t>
            </w:r>
          </w:p>
        </w:tc>
        <w:tc>
          <w:tcPr>
            <w:tcW w:w="1446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113</w:t>
            </w:r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115</w:t>
            </w:r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101,8</w:t>
            </w:r>
          </w:p>
        </w:tc>
        <w:tc>
          <w:tcPr>
            <w:tcW w:w="1502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101,8</w:t>
            </w:r>
          </w:p>
        </w:tc>
        <w:tc>
          <w:tcPr>
            <w:tcW w:w="1162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47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6016,4</w:t>
            </w:r>
          </w:p>
        </w:tc>
        <w:tc>
          <w:tcPr>
            <w:tcW w:w="1984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6125</w:t>
            </w:r>
          </w:p>
        </w:tc>
      </w:tr>
      <w:tr w:rsidR="00AF4623" w:rsidRPr="00F6616C" w:rsidTr="00BE58BE">
        <w:trPr>
          <w:trHeight w:val="20"/>
        </w:trPr>
        <w:tc>
          <w:tcPr>
            <w:tcW w:w="4815" w:type="dxa"/>
          </w:tcPr>
          <w:p w:rsidR="00AF4623" w:rsidRPr="00F6616C" w:rsidRDefault="00AF462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Общая площадь введенного в эксплуатацию жилья с учетом индивидуального жилищного строительства (кв. м)</w:t>
            </w:r>
          </w:p>
        </w:tc>
        <w:tc>
          <w:tcPr>
            <w:tcW w:w="1247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3970</w:t>
            </w:r>
          </w:p>
        </w:tc>
        <w:tc>
          <w:tcPr>
            <w:tcW w:w="1446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3260</w:t>
            </w:r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2950</w:t>
            </w:r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74,3</w:t>
            </w:r>
          </w:p>
        </w:tc>
        <w:tc>
          <w:tcPr>
            <w:tcW w:w="1502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90,5</w:t>
            </w:r>
          </w:p>
        </w:tc>
        <w:tc>
          <w:tcPr>
            <w:tcW w:w="1162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47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3008</w:t>
            </w:r>
          </w:p>
        </w:tc>
        <w:tc>
          <w:tcPr>
            <w:tcW w:w="1984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2235 (3008 x 74,3: 100)</w:t>
            </w:r>
          </w:p>
        </w:tc>
      </w:tr>
      <w:tr w:rsidR="00AF4623" w:rsidRPr="00F6616C" w:rsidTr="00BE58BE">
        <w:trPr>
          <w:trHeight w:val="20"/>
        </w:trPr>
        <w:tc>
          <w:tcPr>
            <w:tcW w:w="4815" w:type="dxa"/>
          </w:tcPr>
          <w:p w:rsidR="00AF4623" w:rsidRPr="00F6616C" w:rsidRDefault="00AF462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Объем инвестиций в основной капитал (за исключением бюджетных средств) (тыс. руб.)</w:t>
            </w:r>
          </w:p>
        </w:tc>
        <w:tc>
          <w:tcPr>
            <w:tcW w:w="1247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6675</w:t>
            </w:r>
          </w:p>
        </w:tc>
        <w:tc>
          <w:tcPr>
            <w:tcW w:w="1446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6675</w:t>
            </w:r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6340</w:t>
            </w:r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95,0</w:t>
            </w:r>
          </w:p>
        </w:tc>
        <w:tc>
          <w:tcPr>
            <w:tcW w:w="1502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95,0</w:t>
            </w:r>
          </w:p>
        </w:tc>
        <w:tc>
          <w:tcPr>
            <w:tcW w:w="1162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47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6016,4</w:t>
            </w:r>
          </w:p>
        </w:tc>
        <w:tc>
          <w:tcPr>
            <w:tcW w:w="1984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5716</w:t>
            </w:r>
          </w:p>
        </w:tc>
      </w:tr>
      <w:tr w:rsidR="00AF4623" w:rsidRPr="00F6616C" w:rsidTr="00BE58BE">
        <w:trPr>
          <w:trHeight w:val="797"/>
        </w:trPr>
        <w:tc>
          <w:tcPr>
            <w:tcW w:w="4815" w:type="dxa"/>
          </w:tcPr>
          <w:p w:rsidR="00AF4623" w:rsidRPr="00F6616C" w:rsidRDefault="00AF462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Оптимизация численности работников органов местного самоуправления и муниципальных учреждений (ед.)</w:t>
            </w:r>
          </w:p>
        </w:tc>
        <w:tc>
          <w:tcPr>
            <w:tcW w:w="1247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46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-40</w:t>
            </w:r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94,3</w:t>
            </w:r>
          </w:p>
        </w:tc>
        <w:tc>
          <w:tcPr>
            <w:tcW w:w="1502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162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247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3008</w:t>
            </w:r>
          </w:p>
        </w:tc>
        <w:tc>
          <w:tcPr>
            <w:tcW w:w="1984" w:type="dxa"/>
          </w:tcPr>
          <w:p w:rsidR="00AF4623" w:rsidRPr="00BE58BE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58BE">
              <w:rPr>
                <w:rFonts w:ascii="Times New Roman" w:hAnsi="Times New Roman" w:cs="Times New Roman"/>
                <w:szCs w:val="22"/>
              </w:rPr>
              <w:t>3179 (3008 x (100 + (100 - 94,3)) : 100)</w:t>
            </w:r>
          </w:p>
        </w:tc>
      </w:tr>
      <w:tr w:rsidR="00AF4623" w:rsidRPr="00F6616C" w:rsidTr="00BE58BE">
        <w:trPr>
          <w:trHeight w:val="20"/>
        </w:trPr>
        <w:tc>
          <w:tcPr>
            <w:tcW w:w="4815" w:type="dxa"/>
          </w:tcPr>
          <w:p w:rsidR="00AF4623" w:rsidRPr="00F6616C" w:rsidRDefault="00AF462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Сумма начисленной субсидии за выполнение социально-экономических показателей (тыс. руб.)</w:t>
            </w:r>
          </w:p>
        </w:tc>
        <w:tc>
          <w:tcPr>
            <w:tcW w:w="1247" w:type="dxa"/>
          </w:tcPr>
          <w:p w:rsidR="00AF4623" w:rsidRPr="00F6616C" w:rsidRDefault="00AF462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6" w:type="dxa"/>
          </w:tcPr>
          <w:p w:rsidR="00AF4623" w:rsidRPr="00F6616C" w:rsidRDefault="00AF462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91" w:type="dxa"/>
          </w:tcPr>
          <w:p w:rsidR="00AF4623" w:rsidRPr="00F6616C" w:rsidRDefault="00AF462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2" w:type="dxa"/>
          </w:tcPr>
          <w:p w:rsidR="00AF4623" w:rsidRPr="00F6616C" w:rsidRDefault="00AF462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2" w:type="dxa"/>
          </w:tcPr>
          <w:p w:rsidR="00AF4623" w:rsidRPr="00F6616C" w:rsidRDefault="00AF462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7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66180</w:t>
            </w:r>
          </w:p>
        </w:tc>
        <w:tc>
          <w:tcPr>
            <w:tcW w:w="1984" w:type="dxa"/>
          </w:tcPr>
          <w:p w:rsidR="00AF4623" w:rsidRPr="00F6616C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616C">
              <w:rPr>
                <w:rFonts w:ascii="Times New Roman" w:hAnsi="Times New Roman" w:cs="Times New Roman"/>
                <w:sz w:val="23"/>
                <w:szCs w:val="23"/>
              </w:rPr>
              <w:t>65149</w:t>
            </w:r>
          </w:p>
        </w:tc>
      </w:tr>
    </w:tbl>
    <w:p w:rsidR="00AF4623" w:rsidRPr="00F6616C" w:rsidRDefault="00AF46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6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F4623" w:rsidRPr="00F6616C" w:rsidRDefault="00AF4623" w:rsidP="00BE58BE">
      <w:pPr>
        <w:pStyle w:val="ConsPlusNormal"/>
        <w:spacing w:before="220" w:line="19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8" w:name="P4257"/>
      <w:bookmarkEnd w:id="8"/>
      <w:r w:rsidRPr="00F6616C">
        <w:rPr>
          <w:rFonts w:ascii="Times New Roman" w:hAnsi="Times New Roman" w:cs="Times New Roman"/>
          <w:sz w:val="24"/>
          <w:szCs w:val="24"/>
        </w:rPr>
        <w:t>&lt;*&gt; Фактически сложившееся значение показателя за соответствующий период прошлого года.</w:t>
      </w:r>
    </w:p>
    <w:p w:rsidR="00AF4623" w:rsidRPr="00F6616C" w:rsidRDefault="00AF4623" w:rsidP="00BE58BE">
      <w:pPr>
        <w:pStyle w:val="ConsPlusNormal"/>
        <w:spacing w:before="220" w:line="19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4258"/>
      <w:bookmarkEnd w:id="9"/>
      <w:r w:rsidRPr="00F6616C">
        <w:rPr>
          <w:rFonts w:ascii="Times New Roman" w:hAnsi="Times New Roman" w:cs="Times New Roman"/>
          <w:sz w:val="24"/>
          <w:szCs w:val="24"/>
        </w:rPr>
        <w:t>&lt;**&gt; Темп роста показателя к соответствующему периоду прошлого года.</w:t>
      </w:r>
    </w:p>
    <w:p w:rsidR="00AF4623" w:rsidRPr="00F6616C" w:rsidRDefault="00AF4623" w:rsidP="00BE58BE">
      <w:pPr>
        <w:pStyle w:val="ConsPlusNormal"/>
        <w:spacing w:before="220" w:line="192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4259"/>
      <w:bookmarkEnd w:id="10"/>
      <w:r w:rsidRPr="00F6616C">
        <w:rPr>
          <w:rFonts w:ascii="Times New Roman" w:hAnsi="Times New Roman" w:cs="Times New Roman"/>
          <w:sz w:val="24"/>
          <w:szCs w:val="24"/>
        </w:rPr>
        <w:t>&lt;***&gt; Максимально возможная величина баллов.</w:t>
      </w:r>
    </w:p>
    <w:p w:rsidR="00AF4623" w:rsidRPr="00F6616C" w:rsidRDefault="00AF4623" w:rsidP="00C21E45">
      <w:pPr>
        <w:pStyle w:val="ConsPlusNormal"/>
        <w:ind w:left="4956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6616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F6E81" w:rsidRPr="00F6616C">
        <w:rPr>
          <w:rFonts w:ascii="Times New Roman" w:hAnsi="Times New Roman" w:cs="Times New Roman"/>
          <w:sz w:val="24"/>
          <w:szCs w:val="24"/>
        </w:rPr>
        <w:t>3</w:t>
      </w:r>
    </w:p>
    <w:p w:rsidR="00BE58BE" w:rsidRDefault="00AF4623" w:rsidP="00BE58BE">
      <w:pPr>
        <w:pStyle w:val="ConsPlusNormal"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6616C">
        <w:rPr>
          <w:rFonts w:ascii="Times New Roman" w:hAnsi="Times New Roman" w:cs="Times New Roman"/>
          <w:sz w:val="24"/>
          <w:szCs w:val="24"/>
        </w:rPr>
        <w:t xml:space="preserve">к Порядку предоставления </w:t>
      </w:r>
      <w:r w:rsidR="00C21E45" w:rsidRPr="00F6616C">
        <w:rPr>
          <w:rFonts w:ascii="Times New Roman" w:hAnsi="Times New Roman" w:cs="Times New Roman"/>
          <w:sz w:val="24"/>
          <w:szCs w:val="24"/>
        </w:rPr>
        <w:t xml:space="preserve">бюджетам поселений </w:t>
      </w:r>
    </w:p>
    <w:p w:rsidR="00C21E45" w:rsidRPr="00F6616C" w:rsidRDefault="00C21E45" w:rsidP="00BE58BE">
      <w:pPr>
        <w:pStyle w:val="ConsPlusNormal"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6616C">
        <w:rPr>
          <w:rFonts w:ascii="Times New Roman" w:hAnsi="Times New Roman" w:cs="Times New Roman"/>
          <w:sz w:val="24"/>
          <w:szCs w:val="24"/>
        </w:rPr>
        <w:t>Атяшевского муниципального района субсидий,</w:t>
      </w:r>
    </w:p>
    <w:p w:rsidR="00C21E45" w:rsidRPr="00F6616C" w:rsidRDefault="00BE58BE" w:rsidP="00BE58BE">
      <w:pPr>
        <w:pStyle w:val="ConsPlusNormal"/>
        <w:ind w:left="849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21E45" w:rsidRPr="00F6616C">
        <w:rPr>
          <w:rFonts w:ascii="Times New Roman" w:hAnsi="Times New Roman" w:cs="Times New Roman"/>
          <w:sz w:val="24"/>
          <w:szCs w:val="24"/>
        </w:rPr>
        <w:t>выплачиваемых в зависимости от выполнения</w:t>
      </w:r>
    </w:p>
    <w:p w:rsidR="00C21E45" w:rsidRPr="00F6616C" w:rsidRDefault="00BE58BE" w:rsidP="00C21E45">
      <w:pPr>
        <w:pStyle w:val="ConsPlusNormal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1E45" w:rsidRPr="00F6616C">
        <w:rPr>
          <w:rFonts w:ascii="Times New Roman" w:hAnsi="Times New Roman" w:cs="Times New Roman"/>
          <w:sz w:val="24"/>
          <w:szCs w:val="24"/>
        </w:rPr>
        <w:t xml:space="preserve"> социально-экономических показателей</w:t>
      </w:r>
    </w:p>
    <w:p w:rsidR="00AF4623" w:rsidRPr="00F6616C" w:rsidRDefault="00AF4623" w:rsidP="00C21E4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F4623" w:rsidRPr="00F6616C" w:rsidRDefault="00AF46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1" w:name="P4270"/>
      <w:bookmarkEnd w:id="11"/>
      <w:r w:rsidRPr="00F6616C">
        <w:rPr>
          <w:rFonts w:ascii="Times New Roman" w:hAnsi="Times New Roman" w:cs="Times New Roman"/>
          <w:sz w:val="24"/>
          <w:szCs w:val="24"/>
        </w:rPr>
        <w:t>ОТЧЕТ</w:t>
      </w:r>
    </w:p>
    <w:p w:rsidR="00AF4623" w:rsidRPr="00F6616C" w:rsidRDefault="00AF46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616C">
        <w:rPr>
          <w:rFonts w:ascii="Times New Roman" w:hAnsi="Times New Roman" w:cs="Times New Roman"/>
          <w:sz w:val="24"/>
          <w:szCs w:val="24"/>
        </w:rPr>
        <w:t>о целевом использовании субсидий,</w:t>
      </w:r>
      <w:r w:rsidR="00BE58BE">
        <w:rPr>
          <w:rFonts w:ascii="Times New Roman" w:hAnsi="Times New Roman" w:cs="Times New Roman"/>
          <w:sz w:val="24"/>
          <w:szCs w:val="24"/>
        </w:rPr>
        <w:t xml:space="preserve"> </w:t>
      </w:r>
      <w:r w:rsidRPr="00F6616C">
        <w:rPr>
          <w:rFonts w:ascii="Times New Roman" w:hAnsi="Times New Roman" w:cs="Times New Roman"/>
          <w:sz w:val="24"/>
          <w:szCs w:val="24"/>
        </w:rPr>
        <w:t>выплачиваемых в зависимости от выполнения</w:t>
      </w:r>
    </w:p>
    <w:p w:rsidR="00AF4623" w:rsidRPr="00F6616C" w:rsidRDefault="00AF46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6616C">
        <w:rPr>
          <w:rFonts w:ascii="Times New Roman" w:hAnsi="Times New Roman" w:cs="Times New Roman"/>
          <w:sz w:val="24"/>
          <w:szCs w:val="24"/>
        </w:rPr>
        <w:t>социально-экономических показателей по</w:t>
      </w:r>
      <w:r w:rsidR="00BE58BE">
        <w:rPr>
          <w:rFonts w:ascii="Times New Roman" w:hAnsi="Times New Roman" w:cs="Times New Roman"/>
          <w:sz w:val="24"/>
          <w:szCs w:val="24"/>
        </w:rPr>
        <w:t xml:space="preserve"> </w:t>
      </w:r>
      <w:r w:rsidRPr="00F6616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F4623" w:rsidRPr="00F6616C" w:rsidRDefault="00BE58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F4623" w:rsidRPr="00F6616C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C21E45" w:rsidRPr="00F6616C">
        <w:rPr>
          <w:rFonts w:ascii="Times New Roman" w:hAnsi="Times New Roman" w:cs="Times New Roman"/>
          <w:sz w:val="24"/>
          <w:szCs w:val="24"/>
        </w:rPr>
        <w:t>поселения</w:t>
      </w:r>
      <w:r w:rsidR="00AF4623" w:rsidRPr="00F6616C">
        <w:rPr>
          <w:rFonts w:ascii="Times New Roman" w:hAnsi="Times New Roman" w:cs="Times New Roman"/>
          <w:sz w:val="24"/>
          <w:szCs w:val="24"/>
        </w:rPr>
        <w:t>)</w:t>
      </w:r>
    </w:p>
    <w:p w:rsidR="00AF4623" w:rsidRPr="00F6616C" w:rsidRDefault="00AF4623" w:rsidP="00BE58BE">
      <w:pPr>
        <w:pStyle w:val="ConsPlusNormal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F6616C">
        <w:rPr>
          <w:rFonts w:ascii="Times New Roman" w:hAnsi="Times New Roman" w:cs="Times New Roman"/>
          <w:sz w:val="24"/>
          <w:szCs w:val="24"/>
        </w:rPr>
        <w:t>по состоянию на ________________________</w:t>
      </w:r>
    </w:p>
    <w:p w:rsidR="00AF4623" w:rsidRPr="00F6616C" w:rsidRDefault="00AF46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616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29"/>
        <w:gridCol w:w="1029"/>
        <w:gridCol w:w="1442"/>
        <w:gridCol w:w="1006"/>
        <w:gridCol w:w="1455"/>
        <w:gridCol w:w="854"/>
        <w:gridCol w:w="14"/>
        <w:gridCol w:w="1372"/>
        <w:gridCol w:w="14"/>
        <w:gridCol w:w="1540"/>
        <w:gridCol w:w="14"/>
        <w:gridCol w:w="974"/>
        <w:gridCol w:w="1498"/>
        <w:gridCol w:w="783"/>
        <w:gridCol w:w="9"/>
        <w:gridCol w:w="1179"/>
        <w:gridCol w:w="1134"/>
      </w:tblGrid>
      <w:tr w:rsidR="00BE58BE" w:rsidRPr="00BE58BE" w:rsidTr="00C21E45">
        <w:tc>
          <w:tcPr>
            <w:tcW w:w="1129" w:type="dxa"/>
            <w:vMerge w:val="restart"/>
          </w:tcPr>
          <w:p w:rsidR="00BE58BE" w:rsidRPr="00BE58BE" w:rsidRDefault="00BE58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58BE">
              <w:rPr>
                <w:rFonts w:ascii="Times New Roman" w:hAnsi="Times New Roman" w:cs="Times New Roman"/>
                <w:szCs w:val="22"/>
              </w:rPr>
              <w:t>Наименование расходного обязательства, на софинансирование которого предоставлена субсидия</w:t>
            </w:r>
          </w:p>
        </w:tc>
        <w:tc>
          <w:tcPr>
            <w:tcW w:w="1029" w:type="dxa"/>
            <w:vMerge w:val="restart"/>
          </w:tcPr>
          <w:p w:rsidR="00BE58BE" w:rsidRPr="00BE58BE" w:rsidRDefault="00BE58BE" w:rsidP="00C21E45">
            <w:pPr>
              <w:pStyle w:val="ConsPlusNormal"/>
              <w:ind w:left="-21" w:firstLine="21"/>
              <w:jc w:val="center"/>
              <w:rPr>
                <w:rFonts w:ascii="Times New Roman" w:hAnsi="Times New Roman" w:cs="Times New Roman"/>
                <w:szCs w:val="22"/>
              </w:rPr>
            </w:pPr>
            <w:r w:rsidRPr="00BE58BE">
              <w:rPr>
                <w:rFonts w:ascii="Times New Roman" w:hAnsi="Times New Roman" w:cs="Times New Roman"/>
                <w:szCs w:val="22"/>
              </w:rPr>
              <w:t>Код бюджетной классификации</w:t>
            </w:r>
          </w:p>
        </w:tc>
        <w:tc>
          <w:tcPr>
            <w:tcW w:w="1442" w:type="dxa"/>
            <w:vMerge w:val="restart"/>
          </w:tcPr>
          <w:p w:rsidR="00BE58BE" w:rsidRPr="00BE58BE" w:rsidRDefault="00BE58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58BE">
              <w:rPr>
                <w:rFonts w:ascii="Times New Roman" w:hAnsi="Times New Roman" w:cs="Times New Roman"/>
                <w:szCs w:val="22"/>
              </w:rPr>
              <w:t>Остаток средств республиканского бюджета Республики Мордовия на 1 января текущего года, потребность в котором подтверждена</w:t>
            </w:r>
          </w:p>
        </w:tc>
        <w:tc>
          <w:tcPr>
            <w:tcW w:w="3329" w:type="dxa"/>
            <w:gridSpan w:val="4"/>
          </w:tcPr>
          <w:p w:rsidR="00BE58BE" w:rsidRPr="00BE58BE" w:rsidRDefault="00BE58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58BE">
              <w:rPr>
                <w:rFonts w:ascii="Times New Roman" w:hAnsi="Times New Roman" w:cs="Times New Roman"/>
                <w:szCs w:val="22"/>
              </w:rPr>
              <w:t>Предусмотрено средств на текущий год</w:t>
            </w:r>
          </w:p>
        </w:tc>
        <w:tc>
          <w:tcPr>
            <w:tcW w:w="1386" w:type="dxa"/>
            <w:gridSpan w:val="2"/>
          </w:tcPr>
          <w:p w:rsidR="00BE58BE" w:rsidRPr="00BE58BE" w:rsidRDefault="00BE58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58BE">
              <w:rPr>
                <w:rFonts w:ascii="Times New Roman" w:hAnsi="Times New Roman" w:cs="Times New Roman"/>
                <w:szCs w:val="22"/>
              </w:rPr>
              <w:t>Предусмотрено за счет средств местного бюджета, %</w:t>
            </w:r>
          </w:p>
        </w:tc>
        <w:tc>
          <w:tcPr>
            <w:tcW w:w="1554" w:type="dxa"/>
            <w:gridSpan w:val="2"/>
          </w:tcPr>
          <w:p w:rsidR="00BE58BE" w:rsidRPr="00BE58BE" w:rsidRDefault="00BE58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58BE">
              <w:rPr>
                <w:rFonts w:ascii="Times New Roman" w:hAnsi="Times New Roman" w:cs="Times New Roman"/>
                <w:szCs w:val="22"/>
              </w:rPr>
              <w:t>Поступило средств из республиканского бюджета Республики Мордовия в бюджет муниципального образования на отчетную дату</w:t>
            </w:r>
          </w:p>
        </w:tc>
        <w:tc>
          <w:tcPr>
            <w:tcW w:w="3264" w:type="dxa"/>
            <w:gridSpan w:val="4"/>
          </w:tcPr>
          <w:p w:rsidR="00BE58BE" w:rsidRPr="00BE58BE" w:rsidRDefault="00BE58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58BE">
              <w:rPr>
                <w:rFonts w:ascii="Times New Roman" w:hAnsi="Times New Roman" w:cs="Times New Roman"/>
                <w:szCs w:val="22"/>
              </w:rPr>
              <w:t>Произведено расходов администрацией муниципального образования на отчетную дату</w:t>
            </w:r>
          </w:p>
        </w:tc>
        <w:tc>
          <w:tcPr>
            <w:tcW w:w="1179" w:type="dxa"/>
          </w:tcPr>
          <w:p w:rsidR="00BE58BE" w:rsidRPr="00BE58BE" w:rsidRDefault="00BE58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58BE">
              <w:rPr>
                <w:rFonts w:ascii="Times New Roman" w:hAnsi="Times New Roman" w:cs="Times New Roman"/>
                <w:szCs w:val="22"/>
              </w:rPr>
              <w:t>Фактический уровень финансирования за счет средств местного бюджета, %</w:t>
            </w:r>
          </w:p>
        </w:tc>
        <w:tc>
          <w:tcPr>
            <w:tcW w:w="1134" w:type="dxa"/>
            <w:vMerge w:val="restart"/>
          </w:tcPr>
          <w:p w:rsidR="00BE58BE" w:rsidRPr="00BE58BE" w:rsidRDefault="00BE58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58BE">
              <w:rPr>
                <w:rFonts w:ascii="Times New Roman" w:hAnsi="Times New Roman" w:cs="Times New Roman"/>
                <w:szCs w:val="22"/>
              </w:rPr>
              <w:t>Остаток средств республиканского бюджета Республики Мордовия на лицевых счетах</w:t>
            </w:r>
          </w:p>
        </w:tc>
      </w:tr>
      <w:tr w:rsidR="00BE58BE" w:rsidRPr="00BE58BE" w:rsidTr="00C21E45">
        <w:tc>
          <w:tcPr>
            <w:tcW w:w="1129" w:type="dxa"/>
            <w:vMerge/>
          </w:tcPr>
          <w:p w:rsidR="00BE58BE" w:rsidRPr="00BE58BE" w:rsidRDefault="00BE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</w:tcPr>
          <w:p w:rsidR="00BE58BE" w:rsidRPr="00BE58BE" w:rsidRDefault="00BE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BE58BE" w:rsidRPr="00BE58BE" w:rsidRDefault="00BE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 w:val="restart"/>
          </w:tcPr>
          <w:p w:rsidR="00BE58BE" w:rsidRPr="00BE58BE" w:rsidRDefault="00BE58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58B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309" w:type="dxa"/>
            <w:gridSpan w:val="2"/>
          </w:tcPr>
          <w:p w:rsidR="00BE58BE" w:rsidRPr="00BE58BE" w:rsidRDefault="00BE58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58BE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386" w:type="dxa"/>
            <w:gridSpan w:val="2"/>
            <w:vMerge w:val="restart"/>
          </w:tcPr>
          <w:p w:rsidR="00BE58BE" w:rsidRPr="00BE58BE" w:rsidRDefault="00BE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  <w:vMerge w:val="restart"/>
          </w:tcPr>
          <w:p w:rsidR="00BE58BE" w:rsidRPr="00BE58BE" w:rsidRDefault="00BE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2"/>
            <w:vMerge w:val="restart"/>
          </w:tcPr>
          <w:p w:rsidR="00BE58BE" w:rsidRPr="00BE58BE" w:rsidRDefault="00BE58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58BE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281" w:type="dxa"/>
            <w:gridSpan w:val="2"/>
          </w:tcPr>
          <w:p w:rsidR="00BE58BE" w:rsidRPr="00BE58BE" w:rsidRDefault="00BE58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58BE">
              <w:rPr>
                <w:rFonts w:ascii="Times New Roman" w:hAnsi="Times New Roman" w:cs="Times New Roman"/>
                <w:szCs w:val="22"/>
              </w:rPr>
              <w:t>в том числе за счет средств</w:t>
            </w:r>
          </w:p>
        </w:tc>
        <w:tc>
          <w:tcPr>
            <w:tcW w:w="1188" w:type="dxa"/>
            <w:gridSpan w:val="2"/>
            <w:vMerge w:val="restart"/>
          </w:tcPr>
          <w:p w:rsidR="00BE58BE" w:rsidRPr="00BE58BE" w:rsidRDefault="00BE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E58BE" w:rsidRPr="00BE58BE" w:rsidRDefault="00BE58BE">
            <w:pPr>
              <w:rPr>
                <w:rFonts w:ascii="Times New Roman" w:hAnsi="Times New Roman" w:cs="Times New Roman"/>
              </w:rPr>
            </w:pPr>
          </w:p>
        </w:tc>
      </w:tr>
      <w:tr w:rsidR="00BE58BE" w:rsidRPr="00BE58BE" w:rsidTr="00C21E45">
        <w:tc>
          <w:tcPr>
            <w:tcW w:w="1129" w:type="dxa"/>
            <w:vMerge/>
          </w:tcPr>
          <w:p w:rsidR="00BE58BE" w:rsidRPr="00BE58BE" w:rsidRDefault="00BE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9" w:type="dxa"/>
            <w:vMerge/>
          </w:tcPr>
          <w:p w:rsidR="00BE58BE" w:rsidRPr="00BE58BE" w:rsidRDefault="00BE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vMerge/>
          </w:tcPr>
          <w:p w:rsidR="00BE58BE" w:rsidRPr="00BE58BE" w:rsidRDefault="00BE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vMerge/>
          </w:tcPr>
          <w:p w:rsidR="00BE58BE" w:rsidRPr="00BE58BE" w:rsidRDefault="00BE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5" w:type="dxa"/>
          </w:tcPr>
          <w:p w:rsidR="00BE58BE" w:rsidRPr="00BE58BE" w:rsidRDefault="00BE58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58BE">
              <w:rPr>
                <w:rFonts w:ascii="Times New Roman" w:hAnsi="Times New Roman" w:cs="Times New Roman"/>
                <w:szCs w:val="22"/>
              </w:rPr>
              <w:t>республиканского бюджета Республики Мордовия</w:t>
            </w:r>
          </w:p>
        </w:tc>
        <w:tc>
          <w:tcPr>
            <w:tcW w:w="854" w:type="dxa"/>
          </w:tcPr>
          <w:p w:rsidR="00BE58BE" w:rsidRPr="00BE58BE" w:rsidRDefault="00BE58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58BE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1386" w:type="dxa"/>
            <w:gridSpan w:val="2"/>
            <w:vMerge/>
          </w:tcPr>
          <w:p w:rsidR="00BE58BE" w:rsidRPr="00BE58BE" w:rsidRDefault="00BE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gridSpan w:val="2"/>
            <w:vMerge/>
          </w:tcPr>
          <w:p w:rsidR="00BE58BE" w:rsidRPr="00BE58BE" w:rsidRDefault="00BE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gridSpan w:val="2"/>
            <w:vMerge/>
          </w:tcPr>
          <w:p w:rsidR="00BE58BE" w:rsidRPr="00BE58BE" w:rsidRDefault="00BE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</w:tcPr>
          <w:p w:rsidR="00BE58BE" w:rsidRPr="00BE58BE" w:rsidRDefault="00BE58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58BE">
              <w:rPr>
                <w:rFonts w:ascii="Times New Roman" w:hAnsi="Times New Roman" w:cs="Times New Roman"/>
                <w:szCs w:val="22"/>
              </w:rPr>
              <w:t>республиканского бюджета Республики Мордовия</w:t>
            </w:r>
          </w:p>
        </w:tc>
        <w:tc>
          <w:tcPr>
            <w:tcW w:w="783" w:type="dxa"/>
          </w:tcPr>
          <w:p w:rsidR="00BE58BE" w:rsidRPr="00BE58BE" w:rsidRDefault="00BE58B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58BE">
              <w:rPr>
                <w:rFonts w:ascii="Times New Roman" w:hAnsi="Times New Roman" w:cs="Times New Roman"/>
                <w:szCs w:val="22"/>
              </w:rPr>
              <w:t>местного бюджета</w:t>
            </w:r>
          </w:p>
        </w:tc>
        <w:tc>
          <w:tcPr>
            <w:tcW w:w="1188" w:type="dxa"/>
            <w:gridSpan w:val="2"/>
            <w:vMerge/>
          </w:tcPr>
          <w:p w:rsidR="00BE58BE" w:rsidRPr="00BE58BE" w:rsidRDefault="00BE58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E58BE" w:rsidRPr="00BE58BE" w:rsidRDefault="00BE58BE">
            <w:pPr>
              <w:rPr>
                <w:rFonts w:ascii="Times New Roman" w:hAnsi="Times New Roman" w:cs="Times New Roman"/>
              </w:rPr>
            </w:pPr>
          </w:p>
        </w:tc>
      </w:tr>
      <w:tr w:rsidR="00AF4623" w:rsidRPr="00BE58BE" w:rsidTr="00C21E45">
        <w:tc>
          <w:tcPr>
            <w:tcW w:w="1129" w:type="dxa"/>
          </w:tcPr>
          <w:p w:rsidR="00AF4623" w:rsidRPr="00BE58BE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58BE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29" w:type="dxa"/>
          </w:tcPr>
          <w:p w:rsidR="00AF4623" w:rsidRPr="00BE58BE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58BE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42" w:type="dxa"/>
          </w:tcPr>
          <w:p w:rsidR="00AF4623" w:rsidRPr="00BE58BE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58BE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06" w:type="dxa"/>
          </w:tcPr>
          <w:p w:rsidR="00AF4623" w:rsidRPr="00BE58BE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58BE">
              <w:rPr>
                <w:rFonts w:ascii="Times New Roman" w:hAnsi="Times New Roman" w:cs="Times New Roman"/>
                <w:szCs w:val="22"/>
              </w:rPr>
              <w:t>гр. 4 = гр. 5 + гр. 6</w:t>
            </w:r>
          </w:p>
        </w:tc>
        <w:tc>
          <w:tcPr>
            <w:tcW w:w="1455" w:type="dxa"/>
          </w:tcPr>
          <w:p w:rsidR="00AF4623" w:rsidRPr="00BE58BE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58BE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4" w:type="dxa"/>
          </w:tcPr>
          <w:p w:rsidR="00AF4623" w:rsidRPr="00BE58BE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58BE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386" w:type="dxa"/>
            <w:gridSpan w:val="2"/>
          </w:tcPr>
          <w:p w:rsidR="00AF4623" w:rsidRPr="00BE58BE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58BE">
              <w:rPr>
                <w:rFonts w:ascii="Times New Roman" w:hAnsi="Times New Roman" w:cs="Times New Roman"/>
                <w:szCs w:val="22"/>
              </w:rPr>
              <w:t>гр. 7 = гр. 6 / гр. 4</w:t>
            </w:r>
          </w:p>
        </w:tc>
        <w:tc>
          <w:tcPr>
            <w:tcW w:w="1554" w:type="dxa"/>
            <w:gridSpan w:val="2"/>
          </w:tcPr>
          <w:p w:rsidR="00AF4623" w:rsidRPr="00BE58BE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58BE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88" w:type="dxa"/>
            <w:gridSpan w:val="2"/>
          </w:tcPr>
          <w:p w:rsidR="00AF4623" w:rsidRPr="00BE58BE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58BE">
              <w:rPr>
                <w:rFonts w:ascii="Times New Roman" w:hAnsi="Times New Roman" w:cs="Times New Roman"/>
                <w:szCs w:val="22"/>
              </w:rPr>
              <w:t>гр. 9 = гр. 10 + гр. 11</w:t>
            </w:r>
          </w:p>
        </w:tc>
        <w:tc>
          <w:tcPr>
            <w:tcW w:w="1498" w:type="dxa"/>
          </w:tcPr>
          <w:p w:rsidR="00AF4623" w:rsidRPr="00BE58BE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58BE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83" w:type="dxa"/>
          </w:tcPr>
          <w:p w:rsidR="00AF4623" w:rsidRPr="00BE58BE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58BE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88" w:type="dxa"/>
            <w:gridSpan w:val="2"/>
          </w:tcPr>
          <w:p w:rsidR="00AF4623" w:rsidRPr="00BE58BE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58BE">
              <w:rPr>
                <w:rFonts w:ascii="Times New Roman" w:hAnsi="Times New Roman" w:cs="Times New Roman"/>
                <w:szCs w:val="22"/>
              </w:rPr>
              <w:t>гр. 12 = гр. 11 / гр. 9</w:t>
            </w:r>
          </w:p>
        </w:tc>
        <w:tc>
          <w:tcPr>
            <w:tcW w:w="1134" w:type="dxa"/>
          </w:tcPr>
          <w:p w:rsidR="00AF4623" w:rsidRPr="00BE58BE" w:rsidRDefault="00AF462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E58BE">
              <w:rPr>
                <w:rFonts w:ascii="Times New Roman" w:hAnsi="Times New Roman" w:cs="Times New Roman"/>
                <w:szCs w:val="22"/>
              </w:rPr>
              <w:t>гр. 13 = гр. 3 + гр. 8 - гр. 10</w:t>
            </w:r>
          </w:p>
        </w:tc>
      </w:tr>
      <w:tr w:rsidR="00AF4623" w:rsidRPr="00BE58BE" w:rsidTr="00C21E45">
        <w:tc>
          <w:tcPr>
            <w:tcW w:w="1129" w:type="dxa"/>
          </w:tcPr>
          <w:p w:rsidR="00AF4623" w:rsidRPr="00BE58BE" w:rsidRDefault="00AF4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9" w:type="dxa"/>
          </w:tcPr>
          <w:p w:rsidR="00AF4623" w:rsidRPr="00BE58BE" w:rsidRDefault="00AF4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42" w:type="dxa"/>
          </w:tcPr>
          <w:p w:rsidR="00AF4623" w:rsidRPr="00BE58BE" w:rsidRDefault="00AF4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06" w:type="dxa"/>
          </w:tcPr>
          <w:p w:rsidR="00AF4623" w:rsidRPr="00BE58BE" w:rsidRDefault="00AF4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55" w:type="dxa"/>
          </w:tcPr>
          <w:p w:rsidR="00AF4623" w:rsidRPr="00BE58BE" w:rsidRDefault="00AF4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4" w:type="dxa"/>
          </w:tcPr>
          <w:p w:rsidR="00AF4623" w:rsidRPr="00BE58BE" w:rsidRDefault="00AF4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86" w:type="dxa"/>
            <w:gridSpan w:val="2"/>
          </w:tcPr>
          <w:p w:rsidR="00AF4623" w:rsidRPr="00BE58BE" w:rsidRDefault="00AF4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4" w:type="dxa"/>
            <w:gridSpan w:val="2"/>
          </w:tcPr>
          <w:p w:rsidR="00AF4623" w:rsidRPr="00BE58BE" w:rsidRDefault="00AF4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88" w:type="dxa"/>
            <w:gridSpan w:val="2"/>
          </w:tcPr>
          <w:p w:rsidR="00AF4623" w:rsidRPr="00BE58BE" w:rsidRDefault="00AF4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98" w:type="dxa"/>
          </w:tcPr>
          <w:p w:rsidR="00AF4623" w:rsidRPr="00BE58BE" w:rsidRDefault="00AF4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83" w:type="dxa"/>
          </w:tcPr>
          <w:p w:rsidR="00AF4623" w:rsidRPr="00BE58BE" w:rsidRDefault="00AF4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gridSpan w:val="2"/>
          </w:tcPr>
          <w:p w:rsidR="00AF4623" w:rsidRPr="00BE58BE" w:rsidRDefault="00AF4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F4623" w:rsidRPr="00BE58BE" w:rsidRDefault="00AF462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AF4623" w:rsidRPr="00F6616C" w:rsidRDefault="00AF46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4623" w:rsidRPr="00F6616C" w:rsidRDefault="00C21E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616C">
        <w:rPr>
          <w:rFonts w:ascii="Times New Roman" w:hAnsi="Times New Roman" w:cs="Times New Roman"/>
          <w:sz w:val="24"/>
          <w:szCs w:val="24"/>
        </w:rPr>
        <w:t>Глава (</w:t>
      </w:r>
      <w:r w:rsidR="00AF4623" w:rsidRPr="00F6616C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F6616C">
        <w:rPr>
          <w:rFonts w:ascii="Times New Roman" w:hAnsi="Times New Roman" w:cs="Times New Roman"/>
          <w:sz w:val="24"/>
          <w:szCs w:val="24"/>
        </w:rPr>
        <w:t>)</w:t>
      </w:r>
      <w:r w:rsidR="00AF4623" w:rsidRPr="00F6616C">
        <w:rPr>
          <w:rFonts w:ascii="Times New Roman" w:hAnsi="Times New Roman" w:cs="Times New Roman"/>
          <w:sz w:val="24"/>
          <w:szCs w:val="24"/>
        </w:rPr>
        <w:t xml:space="preserve"> </w:t>
      </w:r>
      <w:r w:rsidRPr="00F6616C">
        <w:rPr>
          <w:rFonts w:ascii="Times New Roman" w:hAnsi="Times New Roman" w:cs="Times New Roman"/>
          <w:sz w:val="24"/>
          <w:szCs w:val="24"/>
        </w:rPr>
        <w:t>поселения</w:t>
      </w:r>
      <w:r w:rsidR="00AF4623" w:rsidRPr="00F6616C">
        <w:rPr>
          <w:rFonts w:ascii="Times New Roman" w:hAnsi="Times New Roman" w:cs="Times New Roman"/>
          <w:sz w:val="24"/>
          <w:szCs w:val="24"/>
        </w:rPr>
        <w:t xml:space="preserve"> ___________________ (Ф.И.О.)</w:t>
      </w:r>
    </w:p>
    <w:sectPr w:rsidR="00AF4623" w:rsidRPr="00F6616C" w:rsidSect="00C21E45">
      <w:pgSz w:w="16838" w:h="11905" w:orient="landscape"/>
      <w:pgMar w:top="567" w:right="567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623"/>
    <w:rsid w:val="0015336B"/>
    <w:rsid w:val="0016291E"/>
    <w:rsid w:val="00182E3E"/>
    <w:rsid w:val="007D3D5C"/>
    <w:rsid w:val="00861DF5"/>
    <w:rsid w:val="00986B9E"/>
    <w:rsid w:val="00A5126F"/>
    <w:rsid w:val="00A677BA"/>
    <w:rsid w:val="00AF4623"/>
    <w:rsid w:val="00B13311"/>
    <w:rsid w:val="00BB5C5C"/>
    <w:rsid w:val="00BE58BE"/>
    <w:rsid w:val="00C21E45"/>
    <w:rsid w:val="00C50C82"/>
    <w:rsid w:val="00C54FA9"/>
    <w:rsid w:val="00CF6E81"/>
    <w:rsid w:val="00D87900"/>
    <w:rsid w:val="00E66C21"/>
    <w:rsid w:val="00EA133B"/>
    <w:rsid w:val="00F6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4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F4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semiHidden/>
    <w:rsid w:val="00A512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51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4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4FA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F4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F46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 Indent"/>
    <w:basedOn w:val="a"/>
    <w:link w:val="a4"/>
    <w:semiHidden/>
    <w:rsid w:val="00A512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512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54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4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261054F6AA5FF743AC89BE412709B488E80E9968EC9C8A820DB27DFABF58D88D3B4BF96E3D374A23EDC76A9CD1C7B6B48CB4A02E42w7C6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261054F6AA5FF743AC89BE412709B488E80E9968EC9C8A820DB27DFABF58D88D3B4BF86E36384A23EDC76A9CD1C7B6B48CB4A02E42w7C6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00220-5791-4A8E-968E-9FD5BC0C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3141</Words>
  <Characters>17909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Карева</dc:creator>
  <cp:lastModifiedBy>Носова</cp:lastModifiedBy>
  <cp:revision>2</cp:revision>
  <cp:lastPrinted>2019-12-30T07:30:00Z</cp:lastPrinted>
  <dcterms:created xsi:type="dcterms:W3CDTF">2019-12-30T08:07:00Z</dcterms:created>
  <dcterms:modified xsi:type="dcterms:W3CDTF">2019-12-30T08:07:00Z</dcterms:modified>
</cp:coreProperties>
</file>