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5" w:rsidRPr="00100AE6" w:rsidRDefault="00C314E5" w:rsidP="00C314E5">
      <w:pPr>
        <w:pStyle w:val="3"/>
        <w:ind w:firstLine="0"/>
        <w:rPr>
          <w:sz w:val="28"/>
          <w:szCs w:val="28"/>
        </w:rPr>
      </w:pPr>
      <w:bookmarkStart w:id="0" w:name="_GoBack"/>
      <w:bookmarkEnd w:id="0"/>
      <w:r>
        <w:rPr>
          <w:sz w:val="48"/>
        </w:rPr>
        <w:t>Р Е Ш Е Н И Е</w:t>
      </w:r>
    </w:p>
    <w:p w:rsidR="00C314E5" w:rsidRDefault="00C314E5" w:rsidP="00C314E5"/>
    <w:p w:rsidR="00C314E5" w:rsidRDefault="00C314E5" w:rsidP="00C314E5">
      <w:pPr>
        <w:pStyle w:val="5"/>
      </w:pPr>
      <w:r>
        <w:t>СОВЕТА ДЕПУТАТОВ</w:t>
      </w:r>
    </w:p>
    <w:p w:rsidR="00C314E5" w:rsidRDefault="00C314E5" w:rsidP="00C314E5">
      <w:pPr>
        <w:pStyle w:val="5"/>
      </w:pPr>
      <w:r>
        <w:t xml:space="preserve"> АТЯШЕВСКОГО МУНИЦИПАЛЬНОГО РАЙОНА</w:t>
      </w:r>
    </w:p>
    <w:p w:rsidR="00C314E5" w:rsidRDefault="00C314E5" w:rsidP="00C314E5">
      <w:pPr>
        <w:jc w:val="center"/>
        <w:rPr>
          <w:sz w:val="28"/>
        </w:rPr>
      </w:pPr>
    </w:p>
    <w:p w:rsidR="00C314E5" w:rsidRPr="00EB7196" w:rsidRDefault="00EB7196" w:rsidP="00C314E5">
      <w:pPr>
        <w:rPr>
          <w:rFonts w:ascii="Times New Roman" w:hAnsi="Times New Roman" w:cs="Times New Roman"/>
          <w:sz w:val="28"/>
          <w:szCs w:val="28"/>
        </w:rPr>
      </w:pPr>
      <w:r w:rsidRPr="00EB7196">
        <w:rPr>
          <w:rFonts w:ascii="Times New Roman" w:hAnsi="Times New Roman" w:cs="Times New Roman"/>
          <w:sz w:val="28"/>
          <w:szCs w:val="28"/>
        </w:rPr>
        <w:t xml:space="preserve">18.04.2019            </w:t>
      </w:r>
      <w:r w:rsidR="00C314E5" w:rsidRPr="00EB71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71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4E5" w:rsidRPr="00EB71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B7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14E5" w:rsidRPr="00EB7196">
        <w:rPr>
          <w:rFonts w:ascii="Times New Roman" w:hAnsi="Times New Roman" w:cs="Times New Roman"/>
          <w:sz w:val="28"/>
          <w:szCs w:val="28"/>
        </w:rPr>
        <w:t xml:space="preserve">  №</w:t>
      </w:r>
      <w:r w:rsidRPr="00EB7196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C314E5" w:rsidRPr="000A5757" w:rsidRDefault="00C314E5" w:rsidP="00C314E5">
      <w:pPr>
        <w:jc w:val="center"/>
        <w:rPr>
          <w:rFonts w:ascii="Times New Roman" w:hAnsi="Times New Roman" w:cs="Times New Roman"/>
          <w:sz w:val="24"/>
        </w:rPr>
      </w:pPr>
      <w:r w:rsidRPr="000A5757">
        <w:rPr>
          <w:rFonts w:ascii="Times New Roman" w:hAnsi="Times New Roman" w:cs="Times New Roman"/>
          <w:sz w:val="24"/>
        </w:rPr>
        <w:t>рп.Атяшево</w:t>
      </w:r>
    </w:p>
    <w:p w:rsidR="00C314E5" w:rsidRDefault="00C314E5" w:rsidP="00C314E5">
      <w:pPr>
        <w:pStyle w:val="ConsPlusTitle"/>
        <w:rPr>
          <w:rFonts w:asciiTheme="minorHAnsi" w:eastAsiaTheme="minorHAnsi" w:hAnsiTheme="minorHAnsi" w:cstheme="minorBidi"/>
          <w:b w:val="0"/>
          <w:szCs w:val="22"/>
          <w:lang w:eastAsia="en-US"/>
        </w:rPr>
      </w:pPr>
    </w:p>
    <w:p w:rsidR="00717C88" w:rsidRPr="005B33EA" w:rsidRDefault="00717C88" w:rsidP="000A57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</w:t>
      </w:r>
      <w:r w:rsidR="000A5757">
        <w:rPr>
          <w:rFonts w:ascii="Times New Roman" w:hAnsi="Times New Roman" w:cs="Times New Roman"/>
          <w:sz w:val="28"/>
          <w:szCs w:val="28"/>
        </w:rPr>
        <w:t>б</w:t>
      </w:r>
      <w:r w:rsidR="00F04633">
        <w:rPr>
          <w:rFonts w:ascii="Times New Roman" w:hAnsi="Times New Roman" w:cs="Times New Roman"/>
          <w:sz w:val="28"/>
          <w:szCs w:val="28"/>
        </w:rPr>
        <w:t xml:space="preserve"> </w:t>
      </w:r>
      <w:r w:rsidR="000A5757">
        <w:rPr>
          <w:rFonts w:ascii="Times New Roman" w:hAnsi="Times New Roman" w:cs="Times New Roman"/>
          <w:sz w:val="28"/>
          <w:szCs w:val="28"/>
        </w:rPr>
        <w:t>установлении расходного обязательства Атяшевского муниципального района по предоставлению бюджетам поселений Атяшевского муниципального района иных межбюджетных трансфертов, выплачиваемых в зависимости от выполнения социально- экономических показателей</w:t>
      </w:r>
    </w:p>
    <w:p w:rsidR="00717C88" w:rsidRPr="005B33EA" w:rsidRDefault="00717C8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4750F" w:rsidRDefault="0034750F" w:rsidP="003475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</w:t>
        </w:r>
        <w:r w:rsidR="00A531E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ями 9, 86 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</w:t>
      </w:r>
      <w:r w:rsidR="00F04633">
        <w:rPr>
          <w:rFonts w:ascii="Times New Roman" w:hAnsi="Times New Roman" w:cs="Times New Roman"/>
          <w:bCs/>
          <w:sz w:val="28"/>
          <w:szCs w:val="28"/>
        </w:rPr>
        <w:t xml:space="preserve">рации, Уставом  Атяшевского </w:t>
      </w:r>
      <w:r w:rsidR="00E1255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bCs/>
          <w:sz w:val="28"/>
          <w:szCs w:val="28"/>
        </w:rPr>
        <w:t>и</w:t>
      </w:r>
      <w:r w:rsidR="005F53BB">
        <w:rPr>
          <w:rFonts w:ascii="Times New Roman" w:hAnsi="Times New Roman" w:cs="Times New Roman"/>
          <w:bCs/>
          <w:sz w:val="28"/>
          <w:szCs w:val="28"/>
        </w:rPr>
        <w:t xml:space="preserve"> на основании статьи 8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3BB">
        <w:rPr>
          <w:rFonts w:ascii="Times New Roman" w:hAnsi="Times New Roman" w:cs="Times New Roman"/>
          <w:bCs/>
          <w:sz w:val="28"/>
          <w:szCs w:val="28"/>
        </w:rPr>
        <w:t>Р</w:t>
      </w:r>
      <w:r w:rsidRPr="005B33EA">
        <w:rPr>
          <w:rFonts w:ascii="Times New Roman" w:hAnsi="Times New Roman" w:cs="Times New Roman"/>
          <w:bCs/>
          <w:sz w:val="28"/>
          <w:szCs w:val="28"/>
        </w:rPr>
        <w:t>ешени</w:t>
      </w:r>
      <w:r w:rsidR="00C643C1">
        <w:rPr>
          <w:rFonts w:ascii="Times New Roman" w:hAnsi="Times New Roman" w:cs="Times New Roman"/>
          <w:bCs/>
          <w:sz w:val="28"/>
          <w:szCs w:val="28"/>
        </w:rPr>
        <w:t xml:space="preserve">я Совета депутатов Атяшевского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F04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3BB">
        <w:rPr>
          <w:rFonts w:ascii="Times New Roman" w:hAnsi="Times New Roman" w:cs="Times New Roman"/>
          <w:bCs/>
          <w:sz w:val="28"/>
          <w:szCs w:val="28"/>
        </w:rPr>
        <w:t xml:space="preserve"> от 26 декабря 2019 года N 55 «</w:t>
      </w:r>
      <w:r w:rsidR="00C643C1">
        <w:rPr>
          <w:rFonts w:ascii="Times New Roman" w:hAnsi="Times New Roman" w:cs="Times New Roman"/>
          <w:bCs/>
          <w:sz w:val="28"/>
          <w:szCs w:val="28"/>
        </w:rPr>
        <w:t xml:space="preserve">О бюджете Атяшевского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>2019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>2020 и 2021</w:t>
      </w:r>
      <w:r w:rsidR="00E1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>годов</w:t>
      </w:r>
      <w:r w:rsidR="005F53BB">
        <w:rPr>
          <w:rFonts w:ascii="Times New Roman" w:hAnsi="Times New Roman" w:cs="Times New Roman"/>
          <w:bCs/>
          <w:sz w:val="28"/>
          <w:szCs w:val="28"/>
        </w:rPr>
        <w:t>»</w:t>
      </w:r>
      <w:r w:rsidRPr="005B33EA">
        <w:rPr>
          <w:rFonts w:ascii="Times New Roman" w:hAnsi="Times New Roman" w:cs="Times New Roman"/>
          <w:bCs/>
          <w:sz w:val="28"/>
          <w:szCs w:val="28"/>
        </w:rPr>
        <w:t>, Со</w:t>
      </w:r>
      <w:r w:rsidR="00C643C1">
        <w:rPr>
          <w:rFonts w:ascii="Times New Roman" w:hAnsi="Times New Roman" w:cs="Times New Roman"/>
          <w:bCs/>
          <w:sz w:val="28"/>
          <w:szCs w:val="28"/>
        </w:rPr>
        <w:t xml:space="preserve">вет депутатов Атяшевского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A5757" w:rsidRPr="005B33EA" w:rsidRDefault="000A5757" w:rsidP="003475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расходное обязательство Атяшевского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предоставлению бюджетам поселений Атяшевского муниципального района иных межбюджетных трансфертов, выплачиваемых в зависимости от выполнения социально- экономических показателей.</w:t>
      </w:r>
    </w:p>
    <w:p w:rsidR="00E715CA" w:rsidRPr="00EB7196" w:rsidRDefault="000A5757" w:rsidP="00E7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96">
        <w:rPr>
          <w:rFonts w:ascii="Times New Roman" w:hAnsi="Times New Roman" w:cs="Times New Roman"/>
          <w:sz w:val="28"/>
          <w:szCs w:val="28"/>
        </w:rPr>
        <w:t>2</w:t>
      </w:r>
      <w:r w:rsidR="00E12556" w:rsidRPr="00EB7196">
        <w:rPr>
          <w:rFonts w:ascii="Times New Roman" w:hAnsi="Times New Roman" w:cs="Times New Roman"/>
          <w:sz w:val="28"/>
          <w:szCs w:val="28"/>
        </w:rPr>
        <w:t>. Утвердить</w:t>
      </w:r>
      <w:r w:rsidR="00717C88" w:rsidRPr="00EB71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717C88" w:rsidRPr="00EB71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04633" w:rsidRPr="00EB7196">
        <w:rPr>
          <w:rFonts w:ascii="Times New Roman" w:hAnsi="Times New Roman" w:cs="Times New Roman"/>
          <w:sz w:val="28"/>
          <w:szCs w:val="28"/>
        </w:rPr>
        <w:t xml:space="preserve"> </w:t>
      </w:r>
      <w:r w:rsidR="00E3332E" w:rsidRPr="00EB7196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717C88" w:rsidRPr="00EB719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50F" w:rsidRPr="00EB7196">
        <w:rPr>
          <w:rFonts w:ascii="Times New Roman" w:hAnsi="Times New Roman" w:cs="Times New Roman"/>
          <w:sz w:val="28"/>
          <w:szCs w:val="28"/>
        </w:rPr>
        <w:t>бюджетам</w:t>
      </w:r>
      <w:r w:rsidR="00C643C1" w:rsidRPr="00EB7196">
        <w:rPr>
          <w:rFonts w:ascii="Times New Roman" w:hAnsi="Times New Roman" w:cs="Times New Roman"/>
          <w:sz w:val="28"/>
          <w:szCs w:val="28"/>
        </w:rPr>
        <w:t xml:space="preserve"> поселений Атяшевского </w:t>
      </w:r>
      <w:r w:rsidR="00E715CA" w:rsidRPr="00EB71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A42F6" w:rsidRPr="00EB7196">
        <w:rPr>
          <w:rFonts w:ascii="Times New Roman" w:hAnsi="Times New Roman" w:cs="Times New Roman"/>
          <w:sz w:val="28"/>
          <w:szCs w:val="28"/>
        </w:rPr>
        <w:t xml:space="preserve"> </w:t>
      </w:r>
      <w:r w:rsidR="0042436B" w:rsidRPr="00EB7196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17C88" w:rsidRPr="00EB7196">
        <w:rPr>
          <w:rFonts w:ascii="Times New Roman" w:hAnsi="Times New Roman" w:cs="Times New Roman"/>
          <w:sz w:val="28"/>
          <w:szCs w:val="28"/>
        </w:rPr>
        <w:t>, выплачиваемых в зависимости от выполнения социально-экономических показателей.</w:t>
      </w:r>
      <w:r w:rsidR="00174EB4" w:rsidRPr="00EB7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5CA" w:rsidRDefault="000A5757" w:rsidP="00E7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96">
        <w:rPr>
          <w:rFonts w:ascii="Times New Roman" w:hAnsi="Times New Roman" w:cs="Times New Roman"/>
          <w:sz w:val="28"/>
          <w:szCs w:val="28"/>
        </w:rPr>
        <w:t>3</w:t>
      </w:r>
      <w:r w:rsidR="00E715CA" w:rsidRPr="00EB71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A42F6" w:rsidRPr="00EB7196">
        <w:rPr>
          <w:rFonts w:ascii="Times New Roman" w:hAnsi="Times New Roman" w:cs="Times New Roman"/>
          <w:sz w:val="28"/>
          <w:szCs w:val="28"/>
        </w:rPr>
        <w:t>после</w:t>
      </w:r>
      <w:r w:rsidR="00E715CA" w:rsidRPr="00EB7196">
        <w:rPr>
          <w:rFonts w:ascii="Times New Roman" w:hAnsi="Times New Roman" w:cs="Times New Roman"/>
          <w:sz w:val="28"/>
          <w:szCs w:val="28"/>
        </w:rPr>
        <w:t xml:space="preserve"> </w:t>
      </w:r>
      <w:r w:rsidR="00B00AA5" w:rsidRPr="00EB7196">
        <w:rPr>
          <w:rFonts w:ascii="Times New Roman" w:hAnsi="Times New Roman" w:cs="Times New Roman"/>
          <w:sz w:val="28"/>
          <w:szCs w:val="28"/>
        </w:rPr>
        <w:t xml:space="preserve">его </w:t>
      </w:r>
      <w:r w:rsidR="00E715CA" w:rsidRPr="00EB7196">
        <w:rPr>
          <w:rFonts w:ascii="Times New Roman" w:hAnsi="Times New Roman" w:cs="Times New Roman"/>
          <w:sz w:val="28"/>
          <w:szCs w:val="28"/>
        </w:rPr>
        <w:t>официального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опуб</w:t>
      </w:r>
      <w:r w:rsidR="003E2A6A">
        <w:rPr>
          <w:rFonts w:ascii="Times New Roman" w:hAnsi="Times New Roman" w:cs="Times New Roman"/>
          <w:sz w:val="28"/>
          <w:szCs w:val="28"/>
        </w:rPr>
        <w:t>ликования.</w:t>
      </w:r>
    </w:p>
    <w:p w:rsidR="003E2A6A" w:rsidRDefault="003E2A6A" w:rsidP="00E7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6A" w:rsidRDefault="003E2A6A" w:rsidP="00E7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6A" w:rsidRDefault="003E2A6A" w:rsidP="00440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3E2A6A" w:rsidRDefault="006D3BE6" w:rsidP="00440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E2A6A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3E2A6A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44043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2A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E2A6A">
        <w:rPr>
          <w:rFonts w:ascii="Times New Roman" w:hAnsi="Times New Roman" w:cs="Times New Roman"/>
          <w:sz w:val="28"/>
          <w:szCs w:val="28"/>
        </w:rPr>
        <w:t>В.Г.Прокин</w:t>
      </w:r>
      <w:proofErr w:type="spellEnd"/>
    </w:p>
    <w:p w:rsidR="003E2A6A" w:rsidRDefault="003E2A6A" w:rsidP="00440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A6A" w:rsidRDefault="003E2A6A" w:rsidP="00440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0436" w:rsidRDefault="003E2A6A" w:rsidP="00440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40436" w:rsidSect="009B6537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6D3BE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proofErr w:type="spellStart"/>
      <w:r w:rsidR="006D3BE6">
        <w:rPr>
          <w:rFonts w:ascii="Times New Roman" w:hAnsi="Times New Roman" w:cs="Times New Roman"/>
          <w:sz w:val="28"/>
          <w:szCs w:val="28"/>
        </w:rPr>
        <w:t>М.Н.Подмарев</w:t>
      </w:r>
      <w:proofErr w:type="spellEnd"/>
    </w:p>
    <w:p w:rsidR="004733F3" w:rsidRPr="005B33EA" w:rsidRDefault="000A5757" w:rsidP="000A5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4404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3F3" w:rsidRPr="005B33EA">
        <w:rPr>
          <w:rFonts w:ascii="Times New Roman" w:hAnsi="Times New Roman" w:cs="Times New Roman"/>
          <w:sz w:val="28"/>
          <w:szCs w:val="28"/>
        </w:rPr>
        <w:t>Утвержден</w:t>
      </w:r>
    </w:p>
    <w:p w:rsidR="004733F3" w:rsidRPr="005B33EA" w:rsidRDefault="0000044C" w:rsidP="00440436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33F3" w:rsidRPr="005B33EA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4733F3" w:rsidRDefault="0000044C" w:rsidP="000004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Атяшевского </w:t>
      </w:r>
      <w:r w:rsidR="004733F3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33F3" w:rsidRPr="005B33EA" w:rsidRDefault="00EB7196" w:rsidP="00EB719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3F3" w:rsidRPr="005B33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33F3" w:rsidRPr="005B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18.04.2019г. </w:t>
      </w:r>
      <w:r w:rsidR="004733F3" w:rsidRPr="005B33E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651B6B" w:rsidRPr="005B33EA" w:rsidRDefault="00651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4733F3" w:rsidRPr="005B33EA" w:rsidRDefault="00FE7843" w:rsidP="00EB7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"P38" </w:instrText>
      </w:r>
      <w:r>
        <w:fldChar w:fldCharType="separate"/>
      </w:r>
      <w:r w:rsidR="004733F3" w:rsidRPr="005B33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:rsidR="00440436" w:rsidRDefault="004733F3" w:rsidP="00EB7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33EA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CA42F6">
        <w:rPr>
          <w:rFonts w:ascii="Times New Roman" w:hAnsi="Times New Roman" w:cs="Times New Roman"/>
          <w:sz w:val="28"/>
          <w:szCs w:val="28"/>
        </w:rPr>
        <w:t xml:space="preserve">там поселений Атяшевского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0436" w:rsidRDefault="004733F3" w:rsidP="00EB7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33E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F43119" w:rsidRPr="005B33E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5B33EA">
        <w:rPr>
          <w:rFonts w:ascii="Times New Roman" w:hAnsi="Times New Roman" w:cs="Times New Roman"/>
          <w:sz w:val="28"/>
          <w:szCs w:val="28"/>
        </w:rPr>
        <w:t>, выплачиваемых в</w:t>
      </w:r>
    </w:p>
    <w:p w:rsidR="00717C88" w:rsidRPr="005B33EA" w:rsidRDefault="004733F3" w:rsidP="00EB7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33EA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от выполнения социально-экономических показателей</w:t>
      </w:r>
    </w:p>
    <w:p w:rsidR="00717C88" w:rsidRPr="005B33EA" w:rsidRDefault="00717C88" w:rsidP="004733F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717C88" w:rsidRPr="005B33EA" w:rsidRDefault="00717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случаи, </w:t>
      </w:r>
      <w:r w:rsidRPr="005B33EA">
        <w:rPr>
          <w:rFonts w:ascii="Times New Roman" w:hAnsi="Times New Roman" w:cs="Times New Roman"/>
          <w:sz w:val="28"/>
          <w:szCs w:val="28"/>
        </w:rPr>
        <w:t xml:space="preserve">цели, условия предоставления и расходования </w:t>
      </w:r>
      <w:r w:rsidR="00F43119" w:rsidRPr="005B33E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CA42F6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CA42F6">
        <w:rPr>
          <w:rFonts w:ascii="Times New Roman" w:hAnsi="Times New Roman" w:cs="Times New Roman"/>
          <w:sz w:val="28"/>
          <w:szCs w:val="28"/>
        </w:rPr>
        <w:t xml:space="preserve">поселений Атяшевского </w:t>
      </w:r>
      <w:r w:rsidR="000004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5676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5676" w:rsidRPr="005B33EA">
        <w:rPr>
          <w:rFonts w:ascii="Times New Roman" w:hAnsi="Times New Roman" w:cs="Times New Roman"/>
          <w:sz w:val="28"/>
          <w:szCs w:val="28"/>
        </w:rPr>
        <w:t>–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5676" w:rsidRPr="005B33EA">
        <w:rPr>
          <w:rFonts w:ascii="Times New Roman" w:hAnsi="Times New Roman" w:cs="Times New Roman"/>
          <w:sz w:val="28"/>
          <w:szCs w:val="28"/>
        </w:rPr>
        <w:t>, район</w:t>
      </w:r>
      <w:r w:rsidRPr="005B33E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B3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B33E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по вопросам местного значения, выплачиваемых в зависимости от выполнения социально-экономических показателей (далее -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B6FF2" w:rsidRPr="005B33EA">
        <w:rPr>
          <w:rFonts w:ascii="Times New Roman" w:hAnsi="Times New Roman" w:cs="Times New Roman"/>
          <w:sz w:val="28"/>
          <w:szCs w:val="28"/>
        </w:rPr>
        <w:t>ы</w:t>
      </w:r>
      <w:r w:rsidRPr="005B33EA">
        <w:rPr>
          <w:rFonts w:ascii="Times New Roman" w:hAnsi="Times New Roman" w:cs="Times New Roman"/>
          <w:sz w:val="28"/>
          <w:szCs w:val="28"/>
        </w:rPr>
        <w:t>), критерии отбора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для решения вопросов местного значения.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4014A2">
        <w:rPr>
          <w:rFonts w:ascii="Times New Roman" w:hAnsi="Times New Roman" w:cs="Times New Roman"/>
          <w:sz w:val="28"/>
          <w:szCs w:val="28"/>
        </w:rPr>
        <w:t xml:space="preserve">3. 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Pr="004014A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4014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</w:t>
      </w:r>
      <w:r w:rsidR="008C0BEB" w:rsidRPr="004014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4014A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2597F" w:rsidRPr="004014A2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164444" w:rsidRPr="004014A2">
        <w:rPr>
          <w:rFonts w:ascii="Times New Roman" w:hAnsi="Times New Roman" w:cs="Times New Roman"/>
          <w:sz w:val="28"/>
          <w:szCs w:val="28"/>
        </w:rPr>
        <w:t>выполнения</w:t>
      </w:r>
      <w:r w:rsidR="0039713B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164444" w:rsidRPr="004014A2">
        <w:rPr>
          <w:rFonts w:ascii="Times New Roman" w:hAnsi="Times New Roman" w:cs="Times New Roman"/>
          <w:sz w:val="28"/>
          <w:szCs w:val="28"/>
        </w:rPr>
        <w:t>поселениями</w:t>
      </w:r>
      <w:r w:rsidR="0039713B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02597F" w:rsidRPr="004014A2">
        <w:rPr>
          <w:rFonts w:ascii="Times New Roman" w:hAnsi="Times New Roman" w:cs="Times New Roman"/>
          <w:sz w:val="28"/>
          <w:szCs w:val="28"/>
        </w:rPr>
        <w:t>установленных социально-экономических показателей</w:t>
      </w:r>
      <w:r w:rsidRPr="004014A2">
        <w:rPr>
          <w:rFonts w:ascii="Times New Roman" w:hAnsi="Times New Roman" w:cs="Times New Roman"/>
          <w:sz w:val="28"/>
          <w:szCs w:val="28"/>
        </w:rPr>
        <w:t>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Условиями предоставления </w:t>
      </w:r>
      <w:r w:rsidR="003E21E9" w:rsidRPr="004014A2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1410C5" w:rsidRPr="004014A2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наличие нормативных правовых актов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014A2">
        <w:rPr>
          <w:rFonts w:ascii="Times New Roman" w:hAnsi="Times New Roman" w:cs="Times New Roman"/>
          <w:sz w:val="28"/>
          <w:szCs w:val="28"/>
        </w:rPr>
        <w:t xml:space="preserve">, устанавливающих расходные обязательства, 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4736BC" w:rsidRPr="004014A2">
        <w:rPr>
          <w:rFonts w:ascii="Times New Roman" w:hAnsi="Times New Roman" w:cs="Times New Roman"/>
          <w:sz w:val="28"/>
          <w:szCs w:val="28"/>
        </w:rPr>
        <w:t>трансферты</w:t>
      </w:r>
      <w:r w:rsidRPr="004014A2">
        <w:rPr>
          <w:rFonts w:ascii="Times New Roman" w:hAnsi="Times New Roman" w:cs="Times New Roman"/>
          <w:sz w:val="28"/>
          <w:szCs w:val="28"/>
        </w:rPr>
        <w:t>;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наличие предусмотренных в решении представительного органа 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о местном бюджете бюджетных ассигнований 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014A2">
        <w:rPr>
          <w:rFonts w:ascii="Times New Roman" w:hAnsi="Times New Roman" w:cs="Times New Roman"/>
          <w:sz w:val="28"/>
          <w:szCs w:val="28"/>
        </w:rPr>
        <w:t>не может быть выше 99 процентов от объема финансирования расходных обязательств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014A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8" w:history="1">
        <w:r w:rsidRPr="004014A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014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14A2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4014A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является </w:t>
      </w:r>
      <w:r w:rsidR="00CA42F6">
        <w:rPr>
          <w:rFonts w:ascii="Times New Roman" w:hAnsi="Times New Roman" w:cs="Times New Roman"/>
          <w:sz w:val="28"/>
          <w:szCs w:val="28"/>
        </w:rPr>
        <w:t xml:space="preserve">Администрация Атяшевского муниципального района </w:t>
      </w:r>
      <w:r w:rsidRPr="004014A2">
        <w:rPr>
          <w:rFonts w:ascii="Times New Roman" w:hAnsi="Times New Roman" w:cs="Times New Roman"/>
          <w:sz w:val="28"/>
          <w:szCs w:val="28"/>
        </w:rPr>
        <w:t>(далее - главный распорядитель).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5. Условием расходования 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4014A2">
        <w:rPr>
          <w:rFonts w:ascii="Times New Roman" w:hAnsi="Times New Roman" w:cs="Times New Roman"/>
          <w:sz w:val="28"/>
          <w:szCs w:val="28"/>
        </w:rPr>
        <w:t>является наличие бюджетных смет</w:t>
      </w:r>
      <w:r w:rsidR="00086530" w:rsidRPr="004014A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14A2">
        <w:rPr>
          <w:rFonts w:ascii="Times New Roman" w:hAnsi="Times New Roman" w:cs="Times New Roman"/>
          <w:sz w:val="28"/>
          <w:szCs w:val="28"/>
        </w:rPr>
        <w:lastRenderedPageBreak/>
        <w:t>утвержденных муниципальных заданий.</w:t>
      </w:r>
    </w:p>
    <w:p w:rsidR="00717C88" w:rsidRPr="005B33EA" w:rsidRDefault="004736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6. </w:t>
      </w:r>
      <w:r w:rsidR="00717C88" w:rsidRPr="004014A2">
        <w:rPr>
          <w:rFonts w:ascii="Times New Roman" w:hAnsi="Times New Roman" w:cs="Times New Roman"/>
          <w:sz w:val="28"/>
          <w:szCs w:val="28"/>
        </w:rPr>
        <w:t>Критерием отбора поселений на получение субсидий является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 выполнение следующих социально-экономических показателей за отчетный период:</w:t>
      </w:r>
    </w:p>
    <w:p w:rsidR="001005D1" w:rsidRPr="005B33EA" w:rsidRDefault="001005D1" w:rsidP="0010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бюджетов других уровней и внебюджетных фондов;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крестьянских (фермерских) хозяйств;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крестьянских (фермерских) хозяйств;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5F53BB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Обрабатывающие производс</w:t>
      </w:r>
      <w:r w:rsidR="005F53BB">
        <w:rPr>
          <w:rFonts w:ascii="Times New Roman" w:hAnsi="Times New Roman" w:cs="Times New Roman"/>
          <w:sz w:val="28"/>
          <w:szCs w:val="28"/>
        </w:rPr>
        <w:t>тва»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5F53BB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</w:t>
      </w:r>
      <w:r w:rsidR="005F53BB">
        <w:rPr>
          <w:rFonts w:ascii="Times New Roman" w:hAnsi="Times New Roman" w:cs="Times New Roman"/>
          <w:sz w:val="28"/>
          <w:szCs w:val="28"/>
        </w:rPr>
        <w:t>аром; кондиционирование воздуха»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5F53BB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5F53BB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>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общая площадь введенного в эксплуатацию жилья с учетом индивидуального жилищного строительства.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5B33EA">
        <w:rPr>
          <w:rFonts w:ascii="Times New Roman" w:hAnsi="Times New Roman" w:cs="Times New Roman"/>
          <w:sz w:val="28"/>
          <w:szCs w:val="28"/>
        </w:rPr>
        <w:t xml:space="preserve">7. Главный распорядитель по каждому </w:t>
      </w:r>
      <w:r w:rsidR="00D22798" w:rsidRPr="005B33EA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5B33EA">
        <w:rPr>
          <w:rFonts w:ascii="Times New Roman" w:hAnsi="Times New Roman" w:cs="Times New Roman"/>
          <w:sz w:val="28"/>
          <w:szCs w:val="28"/>
        </w:rPr>
        <w:t>оценивает выполнение социально-экономических показателей:</w:t>
      </w:r>
    </w:p>
    <w:p w:rsidR="00717C88" w:rsidRPr="005B33EA" w:rsidRDefault="005F53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и кр</w:t>
      </w:r>
      <w:r>
        <w:rPr>
          <w:rFonts w:ascii="Times New Roman" w:hAnsi="Times New Roman" w:cs="Times New Roman"/>
          <w:sz w:val="28"/>
          <w:szCs w:val="28"/>
        </w:rPr>
        <w:t>естьянских (фермерских хозяйств»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</w:t>
      </w:r>
      <w:r>
        <w:rPr>
          <w:rFonts w:ascii="Times New Roman" w:hAnsi="Times New Roman" w:cs="Times New Roman"/>
          <w:sz w:val="28"/>
          <w:szCs w:val="28"/>
        </w:rPr>
        <w:t>ьянских (фермерских) хозяйствах»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Объем оборота розничной тор</w:t>
      </w:r>
      <w:r w:rsidR="00C80D14">
        <w:rPr>
          <w:rFonts w:ascii="Times New Roman" w:hAnsi="Times New Roman" w:cs="Times New Roman"/>
          <w:sz w:val="28"/>
          <w:szCs w:val="28"/>
        </w:rPr>
        <w:t>говли во всехканалах реализации»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</w:t>
      </w:r>
      <w:r w:rsidR="00C80D14">
        <w:rPr>
          <w:rFonts w:ascii="Times New Roman" w:hAnsi="Times New Roman" w:cs="Times New Roman"/>
          <w:sz w:val="28"/>
          <w:szCs w:val="28"/>
        </w:rPr>
        <w:t>дам экономической деятельности», «Обрабатывающие производства»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</w:t>
      </w:r>
      <w:r w:rsidR="00C80D14">
        <w:rPr>
          <w:rFonts w:ascii="Times New Roman" w:hAnsi="Times New Roman" w:cs="Times New Roman"/>
          <w:sz w:val="28"/>
          <w:szCs w:val="28"/>
        </w:rPr>
        <w:t>аром; кондиционирование воздуха»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</w:t>
      </w:r>
      <w:r w:rsidR="00C80D14">
        <w:rPr>
          <w:rFonts w:ascii="Times New Roman" w:hAnsi="Times New Roman" w:cs="Times New Roman"/>
          <w:sz w:val="28"/>
          <w:szCs w:val="28"/>
        </w:rPr>
        <w:t>ность по ликвидации загрязнений»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Темп роста среднемесячной номинальн</w:t>
      </w:r>
      <w:r w:rsidR="00C80D14">
        <w:rPr>
          <w:rFonts w:ascii="Times New Roman" w:hAnsi="Times New Roman" w:cs="Times New Roman"/>
          <w:sz w:val="28"/>
          <w:szCs w:val="28"/>
        </w:rPr>
        <w:t>ой начисленной заработной платы»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Общая площадь введенного в эксплуатацию жилья с учетом индивиду</w:t>
      </w:r>
      <w:r w:rsidR="00C80D14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 - на основании данных, </w:t>
      </w:r>
      <w:r w:rsidR="00717C88" w:rsidRPr="005B33E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Государственным казенным учреждением Республики Мордовия </w:t>
      </w:r>
      <w:r w:rsidR="00C80D14">
        <w:rPr>
          <w:rFonts w:ascii="Times New Roman" w:hAnsi="Times New Roman" w:cs="Times New Roman"/>
          <w:sz w:val="28"/>
          <w:szCs w:val="28"/>
        </w:rPr>
        <w:t>«</w:t>
      </w:r>
      <w:r w:rsidR="00717C88" w:rsidRPr="005B33EA">
        <w:rPr>
          <w:rFonts w:ascii="Times New Roman" w:hAnsi="Times New Roman" w:cs="Times New Roman"/>
          <w:sz w:val="28"/>
          <w:szCs w:val="28"/>
        </w:rPr>
        <w:t>Научный центр социал</w:t>
      </w:r>
      <w:r w:rsidR="00C80D14">
        <w:rPr>
          <w:rFonts w:ascii="Times New Roman" w:hAnsi="Times New Roman" w:cs="Times New Roman"/>
          <w:sz w:val="28"/>
          <w:szCs w:val="28"/>
        </w:rPr>
        <w:t>ьно-экономического мониторинга»</w:t>
      </w:r>
      <w:r w:rsidR="00CC5A1C"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CC5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Размер предоставляемого</w:t>
      </w:r>
      <w:r w:rsidR="00C80D14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="00717C88" w:rsidRPr="005B33EA">
        <w:rPr>
          <w:rFonts w:ascii="Times New Roman" w:hAnsi="Times New Roman" w:cs="Times New Roman"/>
          <w:sz w:val="28"/>
          <w:szCs w:val="28"/>
        </w:rPr>
        <w:t>определяется пропорционально проценту выполнения социально-экономических показателей исходя из их плановой доли в общей сумме</w:t>
      </w:r>
      <w:r w:rsidRPr="005B33EA">
        <w:rPr>
          <w:rFonts w:ascii="Times New Roman" w:hAnsi="Times New Roman" w:cs="Times New Roman"/>
          <w:sz w:val="28"/>
          <w:szCs w:val="28"/>
        </w:rPr>
        <w:t xml:space="preserve"> трансферта</w:t>
      </w:r>
      <w:r w:rsidR="00717C88"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Плановые </w:t>
      </w:r>
      <w:hyperlink w:anchor="P493" w:history="1">
        <w:r w:rsidRPr="005B33EA">
          <w:rPr>
            <w:rFonts w:ascii="Times New Roman" w:hAnsi="Times New Roman" w:cs="Times New Roman"/>
            <w:sz w:val="28"/>
            <w:szCs w:val="28"/>
          </w:rPr>
          <w:t>доли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по поселениям устанавливаются в размерах согласно приложению</w:t>
      </w:r>
      <w:r w:rsidR="00CC5A1C" w:rsidRPr="005B33EA">
        <w:rPr>
          <w:rFonts w:ascii="Times New Roman" w:hAnsi="Times New Roman" w:cs="Times New Roman"/>
          <w:sz w:val="28"/>
          <w:szCs w:val="28"/>
        </w:rPr>
        <w:t xml:space="preserve"> 1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Выполнение социально-экономического показателя определяется как отношение фактически сложившегося уровня показателя к прогнозному.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Прогноз по социально-экономическим показателям в разрезе </w:t>
      </w:r>
      <w:r w:rsidR="00506C0C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утверждается ежегодно</w:t>
      </w:r>
      <w:r w:rsidR="00506C0C" w:rsidRPr="005B33EA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00044C">
        <w:rPr>
          <w:rFonts w:ascii="Times New Roman" w:hAnsi="Times New Roman" w:cs="Times New Roman"/>
          <w:sz w:val="28"/>
          <w:szCs w:val="28"/>
        </w:rPr>
        <w:t xml:space="preserve">ием Администрации Атяшевского </w:t>
      </w:r>
      <w:r w:rsidR="00506C0C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 w:rsidP="00C74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8. Распределение плановой годовой суммы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12556">
        <w:rPr>
          <w:rFonts w:ascii="Times New Roman" w:hAnsi="Times New Roman" w:cs="Times New Roman"/>
          <w:sz w:val="28"/>
          <w:szCs w:val="28"/>
        </w:rPr>
        <w:t>Р</w:t>
      </w:r>
      <w:r w:rsidR="00CB6F4E" w:rsidRPr="005B33EA">
        <w:rPr>
          <w:rFonts w:ascii="Times New Roman" w:hAnsi="Times New Roman" w:cs="Times New Roman"/>
          <w:sz w:val="28"/>
          <w:szCs w:val="28"/>
        </w:rPr>
        <w:t>ешением Совет</w:t>
      </w:r>
      <w:r w:rsidR="0000044C">
        <w:rPr>
          <w:rFonts w:ascii="Times New Roman" w:hAnsi="Times New Roman" w:cs="Times New Roman"/>
          <w:sz w:val="28"/>
          <w:szCs w:val="28"/>
        </w:rPr>
        <w:t>а депутатов Атяшевского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B6F4E" w:rsidRPr="005B33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E1570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00044C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C747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33E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Плановая месячная сумма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для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устанавливается в размере 1/12 части от плановой годовой суммы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9. При подведении итогов в расчет показателя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фондов" не включаются доходы, поступившие от вновь созданных и зарегистрированных в текущем году организаций.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и крестьянских (фермерских) хозяйств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 показателю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крестьянских (фермерских) хозяйств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для начисления субсидий учитывается реализация животноводческой продукции заготовительным и перерабатывающим организациям.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поголовье скота (КРС) нарастающим итогом с начала года в пересчете на условные головы сравнивается с поголовьем скота (КРС) по состоянию на 1 января отчетного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При расчете сохранности поголовья скота (КРС), поголовье, поставленное с 1 января текущего финансового года сельскохозяйственными товаропроизводителями перерабатывающим организациям Республики Мордовия, по заключению Республиканской ветеринарной службы Республики Мордовия в связи с положительной реакцией на туберкулин, учитывается в </w:t>
      </w:r>
      <w:r w:rsidRPr="005B33EA">
        <w:rPr>
          <w:rFonts w:ascii="Times New Roman" w:hAnsi="Times New Roman" w:cs="Times New Roman"/>
          <w:sz w:val="28"/>
          <w:szCs w:val="28"/>
        </w:rPr>
        <w:lastRenderedPageBreak/>
        <w:t>течение календарного года по территориям - поставщикам скота.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осуществляется корректировка на поправочный коэффициент, определяемый как отношение фактически сложившегося индекса-дефлятора оборота розничной торговли к прогнозному.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9E0087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9E0087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осуществляется корректировка на поправочный коэффициент, определяемый как отношение фактически сложившегося индекса-дефлятора цен к прогнозному.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Подведение итогов по показателю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осуществляется по кругу крупных и средних организаций.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10. При перевыполнении показателей социально-экономического развития более чем на 10% за каждый последующий процент засчитывается выполнение 0,1%, но не более 10% плановой суммы</w:t>
      </w:r>
      <w:r w:rsidR="00DD7192" w:rsidRPr="005B33E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Для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B33EA">
        <w:rPr>
          <w:rFonts w:ascii="Times New Roman" w:hAnsi="Times New Roman" w:cs="Times New Roman"/>
          <w:sz w:val="28"/>
          <w:szCs w:val="28"/>
        </w:rPr>
        <w:t>, по которым прогноз социально-экономических показателей принят ниже оптимально напряженного уровня, при подведении итогов по ненапряженным показателям за каждый процент выполнения свыше 100% засчитывается 0,1 процента.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За оптимально напряженные принимаются показатели прогноза социально-экономического развития</w:t>
      </w:r>
      <w:r w:rsidR="00CE4D80">
        <w:rPr>
          <w:rFonts w:ascii="Times New Roman" w:hAnsi="Times New Roman" w:cs="Times New Roman"/>
          <w:sz w:val="28"/>
          <w:szCs w:val="28"/>
        </w:rPr>
        <w:t xml:space="preserve"> </w:t>
      </w:r>
      <w:r w:rsidR="001502E3" w:rsidRPr="005B33EA">
        <w:rPr>
          <w:rFonts w:ascii="Times New Roman" w:hAnsi="Times New Roman" w:cs="Times New Roman"/>
          <w:sz w:val="28"/>
          <w:szCs w:val="28"/>
        </w:rPr>
        <w:t>пос</w:t>
      </w:r>
      <w:r w:rsidR="00440436">
        <w:rPr>
          <w:rFonts w:ascii="Times New Roman" w:hAnsi="Times New Roman" w:cs="Times New Roman"/>
          <w:sz w:val="28"/>
          <w:szCs w:val="28"/>
        </w:rPr>
        <w:t>е</w:t>
      </w:r>
      <w:r w:rsidR="001502E3" w:rsidRPr="005B33EA">
        <w:rPr>
          <w:rFonts w:ascii="Times New Roman" w:hAnsi="Times New Roman" w:cs="Times New Roman"/>
          <w:sz w:val="28"/>
          <w:szCs w:val="28"/>
        </w:rPr>
        <w:t>л</w:t>
      </w:r>
      <w:r w:rsidR="00440436">
        <w:rPr>
          <w:rFonts w:ascii="Times New Roman" w:hAnsi="Times New Roman" w:cs="Times New Roman"/>
          <w:sz w:val="28"/>
          <w:szCs w:val="28"/>
        </w:rPr>
        <w:t>е</w:t>
      </w:r>
      <w:r w:rsidR="001502E3" w:rsidRPr="005B33EA">
        <w:rPr>
          <w:rFonts w:ascii="Times New Roman" w:hAnsi="Times New Roman" w:cs="Times New Roman"/>
          <w:sz w:val="28"/>
          <w:szCs w:val="28"/>
        </w:rPr>
        <w:t>ний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, утвержденные в соответствии с </w:t>
      </w:r>
      <w:hyperlink w:anchor="P82" w:history="1">
        <w:r w:rsidRPr="005B33E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11. Итоги по показателям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крестьянских (фермерских) хозяйств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E4D80">
        <w:rPr>
          <w:rFonts w:ascii="Times New Roman" w:hAnsi="Times New Roman" w:cs="Times New Roman"/>
          <w:sz w:val="28"/>
          <w:szCs w:val="28"/>
        </w:rPr>
        <w:t>«</w:t>
      </w:r>
      <w:r w:rsidRPr="005B33EA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CE4D80">
        <w:rPr>
          <w:rFonts w:ascii="Times New Roman" w:hAnsi="Times New Roman" w:cs="Times New Roman"/>
          <w:sz w:val="28"/>
          <w:szCs w:val="28"/>
        </w:rPr>
        <w:t>»</w:t>
      </w:r>
      <w:r w:rsidRPr="005B33EA">
        <w:rPr>
          <w:rFonts w:ascii="Times New Roman" w:hAnsi="Times New Roman" w:cs="Times New Roman"/>
          <w:sz w:val="28"/>
          <w:szCs w:val="28"/>
        </w:rPr>
        <w:t xml:space="preserve"> подводятся ежемесячно.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Итоги по остальным показателям подводятся ежеквартально нарастающим итогом с начала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12. Если в подведении итогов и расчетах начисления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5B33EA">
        <w:rPr>
          <w:rFonts w:ascii="Times New Roman" w:hAnsi="Times New Roman" w:cs="Times New Roman"/>
          <w:sz w:val="28"/>
          <w:szCs w:val="28"/>
        </w:rPr>
        <w:lastRenderedPageBreak/>
        <w:t>не все показатели (не отслеживаются в первые два месяца квартала), то к распределению берется плановая сумма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Pr="005B33EA">
        <w:rPr>
          <w:rFonts w:ascii="Times New Roman" w:hAnsi="Times New Roman" w:cs="Times New Roman"/>
          <w:sz w:val="28"/>
          <w:szCs w:val="28"/>
        </w:rPr>
        <w:t>, которая перераспределяется пропорционально плановой процентной доле показателей, рассматриваемых при подведении итогов.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13. Начисление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производится за первые два месяца квартала по итогам за отчетный месяц, в последний месяц квартала - нарастающим итогом с начала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Расчет и начисление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бюджетам поселений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осуществляет главный распорядитель в соответствии с </w:t>
      </w:r>
      <w:hyperlink w:anchor="P4120" w:history="1">
        <w:r w:rsidRPr="005B33EA">
          <w:rPr>
            <w:rFonts w:ascii="Times New Roman" w:hAnsi="Times New Roman" w:cs="Times New Roman"/>
            <w:sz w:val="28"/>
            <w:szCs w:val="28"/>
          </w:rPr>
          <w:t>примером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расчета и </w:t>
      </w:r>
      <w:r w:rsidR="001502E3" w:rsidRPr="005B33EA">
        <w:rPr>
          <w:rFonts w:ascii="Times New Roman" w:hAnsi="Times New Roman" w:cs="Times New Roman"/>
          <w:sz w:val="28"/>
          <w:szCs w:val="28"/>
        </w:rPr>
        <w:t>начисления согласно приложению 2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Главный распорядитель ежемесячно, в срок до 10 числа месяца, перечисляет бюджетам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поселений трансферты </w:t>
      </w:r>
      <w:r w:rsidRPr="005B33EA">
        <w:rPr>
          <w:rFonts w:ascii="Times New Roman" w:hAnsi="Times New Roman" w:cs="Times New Roman"/>
          <w:sz w:val="28"/>
          <w:szCs w:val="28"/>
        </w:rPr>
        <w:t xml:space="preserve">в размере 60 процентов от плановой месячной суммы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и в срок до 25 числа месяца сумму разницы между фактически начисленными и перечисленными суммами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14. Если начисленная по итогам расчетов за месяц (квартал) </w:t>
      </w:r>
      <w:r w:rsidR="00440C55" w:rsidRPr="005B33EA">
        <w:rPr>
          <w:rFonts w:ascii="Times New Roman" w:hAnsi="Times New Roman" w:cs="Times New Roman"/>
          <w:sz w:val="28"/>
          <w:szCs w:val="28"/>
        </w:rPr>
        <w:t>трансферт превышает плановую сумму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40C55" w:rsidRPr="005B33EA">
        <w:rPr>
          <w:rFonts w:ascii="Times New Roman" w:hAnsi="Times New Roman" w:cs="Times New Roman"/>
          <w:sz w:val="28"/>
          <w:szCs w:val="28"/>
        </w:rPr>
        <w:t>а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, то перечисление сверхплановоготрансферта </w:t>
      </w:r>
      <w:r w:rsidRPr="005B33EA">
        <w:rPr>
          <w:rFonts w:ascii="Times New Roman" w:hAnsi="Times New Roman" w:cs="Times New Roman"/>
          <w:sz w:val="28"/>
          <w:szCs w:val="28"/>
        </w:rPr>
        <w:t>производится за счет резерва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Pr="005B33EA">
        <w:rPr>
          <w:rFonts w:ascii="Times New Roman" w:hAnsi="Times New Roman" w:cs="Times New Roman"/>
          <w:sz w:val="28"/>
          <w:szCs w:val="28"/>
        </w:rPr>
        <w:t xml:space="preserve">, предоставляемых сверх объемов, утвержденных </w:t>
      </w:r>
      <w:r w:rsidR="001502E3" w:rsidRPr="005B33EA">
        <w:rPr>
          <w:rFonts w:ascii="Times New Roman" w:hAnsi="Times New Roman" w:cs="Times New Roman"/>
          <w:sz w:val="28"/>
          <w:szCs w:val="28"/>
        </w:rPr>
        <w:t>решением Совета депутато</w:t>
      </w:r>
      <w:r w:rsidR="00D01787">
        <w:rPr>
          <w:rFonts w:ascii="Times New Roman" w:hAnsi="Times New Roman" w:cs="Times New Roman"/>
          <w:sz w:val="28"/>
          <w:szCs w:val="28"/>
        </w:rPr>
        <w:t xml:space="preserve">в Атяшевского </w:t>
      </w:r>
      <w:r w:rsidR="00440C55" w:rsidRPr="005B33EA">
        <w:rPr>
          <w:rFonts w:ascii="Times New Roman" w:hAnsi="Times New Roman" w:cs="Times New Roman"/>
          <w:sz w:val="28"/>
          <w:szCs w:val="28"/>
        </w:rPr>
        <w:t>муниципал</w:t>
      </w:r>
      <w:r w:rsidR="00D01787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01787">
        <w:rPr>
          <w:rFonts w:ascii="Times New Roman" w:hAnsi="Times New Roman" w:cs="Times New Roman"/>
          <w:sz w:val="28"/>
          <w:szCs w:val="28"/>
        </w:rPr>
        <w:t>Атяшевского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1502E3" w:rsidRPr="005B33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Если фактически перечисленная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меньше начисленной по итогам расчетов за отчетный финансовый год, то перечисление недостающей суммы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>производится в текущем финансовом году.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Если фактически перечисленная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превышает начисленную по итогам расчетов за отчетный финансовый год, то ежемесячно начисляемая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>в текущем финансовом году уменьшается равными долями в течение девяти месяцев на сумму излишне перечисленных средств.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15. Перечисление денежных средств осуществляется с единого счета бюджета </w:t>
      </w:r>
      <w:r w:rsidR="00440C55" w:rsidRPr="005B33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на счет бюджета </w:t>
      </w:r>
      <w:r w:rsidR="002B5CAB" w:rsidRPr="005B33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6" w:history="1">
        <w:r w:rsidRPr="005B33EA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16. </w:t>
      </w:r>
      <w:r w:rsidR="00906E96" w:rsidRPr="005B33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не позднее 1 апреля года, следующего за отчетным годом, представляют главному распорядителю </w:t>
      </w:r>
      <w:hyperlink w:anchor="P4270" w:history="1">
        <w:r w:rsidRPr="005B33E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о целевом использовании </w:t>
      </w:r>
      <w:r w:rsidR="00906E96" w:rsidRPr="005B33EA">
        <w:rPr>
          <w:rFonts w:ascii="Times New Roman" w:hAnsi="Times New Roman" w:cs="Times New Roman"/>
          <w:sz w:val="28"/>
          <w:szCs w:val="28"/>
        </w:rPr>
        <w:t>трансферта по форме согласно приложению 3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17. В случае нецелевого использования </w:t>
      </w:r>
      <w:r w:rsidR="009F1019" w:rsidRPr="005B33EA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Pr="005B33EA">
        <w:rPr>
          <w:rFonts w:ascii="Times New Roman" w:hAnsi="Times New Roman" w:cs="Times New Roman"/>
          <w:sz w:val="28"/>
          <w:szCs w:val="28"/>
        </w:rPr>
        <w:t xml:space="preserve">подлежат взысканию в доход бюджета </w:t>
      </w:r>
      <w:r w:rsidR="009F1019" w:rsidRPr="005B33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B33E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CA2D1D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A2D1D" w:rsidSect="00440436">
          <w:pgSz w:w="11905" w:h="16838"/>
          <w:pgMar w:top="851" w:right="851" w:bottom="851" w:left="1134" w:header="0" w:footer="0" w:gutter="0"/>
          <w:cols w:space="720"/>
          <w:docGrid w:linePitch="299"/>
        </w:sectPr>
      </w:pPr>
      <w:r w:rsidRPr="005B33EA">
        <w:rPr>
          <w:rFonts w:ascii="Times New Roman" w:hAnsi="Times New Roman" w:cs="Times New Roman"/>
          <w:sz w:val="28"/>
          <w:szCs w:val="28"/>
        </w:rPr>
        <w:t xml:space="preserve">18. Контроль за соблюдением </w:t>
      </w:r>
      <w:r w:rsidR="009F1019" w:rsidRPr="005B33EA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466AC1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и органами </w:t>
      </w:r>
      <w:r w:rsidR="00466AC1" w:rsidRPr="005B33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33EA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717C88" w:rsidRPr="005B33EA" w:rsidRDefault="00717C88">
      <w:pPr>
        <w:pStyle w:val="ConsPlusNormal"/>
        <w:jc w:val="right"/>
        <w:outlineLvl w:val="1"/>
      </w:pPr>
      <w:r w:rsidRPr="005B33EA">
        <w:lastRenderedPageBreak/>
        <w:t xml:space="preserve">Приложение </w:t>
      </w:r>
      <w:r w:rsidR="003C03C5" w:rsidRPr="005B33EA">
        <w:t>1</w:t>
      </w:r>
    </w:p>
    <w:p w:rsidR="003C03C5" w:rsidRPr="005B33EA" w:rsidRDefault="00717C88">
      <w:pPr>
        <w:pStyle w:val="ConsPlusNormal"/>
        <w:jc w:val="right"/>
      </w:pPr>
      <w:r w:rsidRPr="005B33EA">
        <w:t xml:space="preserve">к Порядку </w:t>
      </w:r>
      <w:r w:rsidR="00F94EF1" w:rsidRPr="005B33EA">
        <w:t xml:space="preserve">и случаям </w:t>
      </w:r>
      <w:r w:rsidRPr="005B33EA">
        <w:t>предоставления</w:t>
      </w:r>
      <w:r w:rsidR="003C03C5" w:rsidRPr="005B33EA">
        <w:t xml:space="preserve"> бюджетам поселений </w:t>
      </w:r>
    </w:p>
    <w:p w:rsidR="00F94EF1" w:rsidRPr="005B33EA" w:rsidRDefault="00EB7196">
      <w:pPr>
        <w:pStyle w:val="ConsPlusNormal"/>
        <w:jc w:val="right"/>
      </w:pPr>
      <w:r>
        <w:t xml:space="preserve">Атяшевского </w:t>
      </w:r>
      <w:r w:rsidR="003C03C5" w:rsidRPr="005B33EA">
        <w:t xml:space="preserve">муниципального района </w:t>
      </w:r>
    </w:p>
    <w:p w:rsidR="00717C88" w:rsidRPr="005B33EA" w:rsidRDefault="003C03C5">
      <w:pPr>
        <w:pStyle w:val="ConsPlusNormal"/>
        <w:jc w:val="right"/>
      </w:pPr>
      <w:proofErr w:type="gramStart"/>
      <w:r w:rsidRPr="005B33EA">
        <w:t>трансфертов</w:t>
      </w:r>
      <w:proofErr w:type="gramEnd"/>
      <w:r w:rsidR="00717C88" w:rsidRPr="005B33EA">
        <w:t>,</w:t>
      </w:r>
      <w:r w:rsidR="00EB7196">
        <w:t xml:space="preserve"> </w:t>
      </w:r>
      <w:r w:rsidR="00717C88" w:rsidRPr="005B33EA">
        <w:t>выплачиваемых в зависимости от выполнения</w:t>
      </w:r>
    </w:p>
    <w:p w:rsidR="00717C88" w:rsidRPr="005B33EA" w:rsidRDefault="00717C88">
      <w:pPr>
        <w:pStyle w:val="ConsPlusNormal"/>
        <w:jc w:val="right"/>
      </w:pPr>
      <w:r w:rsidRPr="005B33EA">
        <w:t>социально-экономических показателей</w:t>
      </w:r>
    </w:p>
    <w:p w:rsidR="00717C88" w:rsidRPr="005B33EA" w:rsidRDefault="00717C88">
      <w:pPr>
        <w:pStyle w:val="ConsPlusNormal"/>
        <w:jc w:val="both"/>
      </w:pPr>
    </w:p>
    <w:p w:rsidR="00717C88" w:rsidRPr="005B33EA" w:rsidRDefault="00717C88">
      <w:pPr>
        <w:pStyle w:val="ConsPlusTitle"/>
        <w:jc w:val="center"/>
      </w:pPr>
      <w:bookmarkStart w:id="4" w:name="P493"/>
      <w:bookmarkEnd w:id="4"/>
      <w:r w:rsidRPr="005B33EA">
        <w:t>ПЛАНОВЫЕ ДОЛИ</w:t>
      </w:r>
    </w:p>
    <w:p w:rsidR="00717C88" w:rsidRPr="005B33EA" w:rsidRDefault="00717C88">
      <w:pPr>
        <w:pStyle w:val="ConsPlusTitle"/>
        <w:jc w:val="center"/>
      </w:pPr>
      <w:r w:rsidRPr="005B33EA">
        <w:t>ПОКАЗАТЕЛЕЙ СОЦИАЛЬНО-ЭКОНОМИЧЕСКОГО РАЗВИТИЯ ПО ПОСЕЛЕНИЯМ</w:t>
      </w:r>
    </w:p>
    <w:p w:rsidR="00717C88" w:rsidRPr="005B33EA" w:rsidRDefault="003C03C5">
      <w:pPr>
        <w:pStyle w:val="ConsPlusTitle"/>
        <w:jc w:val="center"/>
      </w:pPr>
      <w:r w:rsidRPr="005B33EA">
        <w:t>НА 201___</w:t>
      </w:r>
      <w:r w:rsidR="00717C88" w:rsidRPr="005B33EA">
        <w:t xml:space="preserve"> ГОД</w:t>
      </w:r>
    </w:p>
    <w:p w:rsidR="00717C88" w:rsidRPr="005B33EA" w:rsidRDefault="00717C88">
      <w:pPr>
        <w:pStyle w:val="ConsPlusNormal"/>
        <w:jc w:val="both"/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91"/>
        <w:gridCol w:w="1191"/>
        <w:gridCol w:w="1191"/>
        <w:gridCol w:w="1191"/>
        <w:gridCol w:w="3316"/>
        <w:gridCol w:w="1134"/>
        <w:gridCol w:w="1276"/>
        <w:gridCol w:w="1134"/>
      </w:tblGrid>
      <w:tr w:rsidR="00717C88" w:rsidRPr="005B33EA" w:rsidTr="00440436">
        <w:tc>
          <w:tcPr>
            <w:tcW w:w="1843" w:type="dxa"/>
            <w:vMerge w:val="restart"/>
          </w:tcPr>
          <w:p w:rsidR="00717C88" w:rsidRPr="005B33EA" w:rsidRDefault="00717C88" w:rsidP="002C1489">
            <w:pPr>
              <w:pStyle w:val="ConsPlusNormal"/>
              <w:jc w:val="center"/>
            </w:pPr>
            <w:r w:rsidRPr="005B33EA">
              <w:t xml:space="preserve">Наименование </w:t>
            </w:r>
            <w:r w:rsidR="002C1489" w:rsidRPr="005B33EA">
              <w:t>поселения</w:t>
            </w:r>
          </w:p>
        </w:tc>
        <w:tc>
          <w:tcPr>
            <w:tcW w:w="1843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Объем закупок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Объем закупок молока от сельскохозяйственных организаций и крестьянских (фермерских) хозяйств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 xml:space="preserve">Сохранность поголовья скота (КРС) в сельскохозяйственных организациях и </w:t>
            </w:r>
            <w:proofErr w:type="spellStart"/>
            <w:r w:rsidRPr="005B33EA">
              <w:t>крестьянско</w:t>
            </w:r>
            <w:proofErr w:type="spellEnd"/>
            <w:r w:rsidRPr="005B33EA">
              <w:t xml:space="preserve"> (фермерских) хозяйствах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Объем оборота розничной торговли во всех каналах реализации</w:t>
            </w:r>
          </w:p>
        </w:tc>
        <w:tc>
          <w:tcPr>
            <w:tcW w:w="3316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Темп роста среднемесячной номинальной начисленной заработной платы</w:t>
            </w:r>
          </w:p>
        </w:tc>
        <w:tc>
          <w:tcPr>
            <w:tcW w:w="1276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Общее количество баллов</w:t>
            </w:r>
          </w:p>
        </w:tc>
      </w:tr>
      <w:tr w:rsidR="00717C88" w:rsidRPr="005B33EA" w:rsidTr="00440436">
        <w:tc>
          <w:tcPr>
            <w:tcW w:w="1843" w:type="dxa"/>
            <w:vMerge/>
          </w:tcPr>
          <w:p w:rsidR="00717C88" w:rsidRPr="005B33EA" w:rsidRDefault="00717C88"/>
        </w:tc>
        <w:tc>
          <w:tcPr>
            <w:tcW w:w="1843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2" w:history="1">
              <w:r w:rsidR="00717C88"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3" w:history="1">
              <w:r w:rsidR="00717C88"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2" w:history="1">
              <w:r w:rsidR="00717C88"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3" w:history="1">
              <w:r w:rsidR="00717C88"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2" w:history="1">
              <w:r w:rsidR="00717C88"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3316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2" w:history="1">
              <w:r w:rsidR="00717C88"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3" w:history="1">
              <w:r w:rsidR="00717C88"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276" w:type="dxa"/>
          </w:tcPr>
          <w:p w:rsidR="00717C88" w:rsidRPr="005B33EA" w:rsidRDefault="007B39CB">
            <w:pPr>
              <w:pStyle w:val="ConsPlusNormal"/>
              <w:jc w:val="center"/>
            </w:pPr>
            <w:hyperlink w:anchor="P4093" w:history="1">
              <w:r w:rsidR="00717C88"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</w:pPr>
          </w:p>
        </w:tc>
      </w:tr>
      <w:tr w:rsidR="00717C88" w:rsidRPr="005B33EA" w:rsidTr="00440436">
        <w:tc>
          <w:tcPr>
            <w:tcW w:w="1843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</w:t>
            </w:r>
          </w:p>
        </w:tc>
        <w:tc>
          <w:tcPr>
            <w:tcW w:w="1843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4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</w:t>
            </w:r>
          </w:p>
        </w:tc>
        <w:tc>
          <w:tcPr>
            <w:tcW w:w="3316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7</w:t>
            </w: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</w:t>
            </w:r>
          </w:p>
        </w:tc>
        <w:tc>
          <w:tcPr>
            <w:tcW w:w="1276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</w:t>
            </w: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</w:t>
            </w:r>
          </w:p>
        </w:tc>
      </w:tr>
      <w:tr w:rsidR="00717C88" w:rsidRPr="005B33EA" w:rsidTr="00440436">
        <w:tc>
          <w:tcPr>
            <w:tcW w:w="1843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843" w:type="dxa"/>
          </w:tcPr>
          <w:p w:rsidR="00717C88" w:rsidRPr="005B33EA" w:rsidRDefault="00717C8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</w:p>
        </w:tc>
        <w:tc>
          <w:tcPr>
            <w:tcW w:w="3316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717C88" w:rsidRPr="005B33EA" w:rsidRDefault="00717C8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17C88" w:rsidRPr="005B33EA" w:rsidRDefault="00717C88">
            <w:pPr>
              <w:pStyle w:val="ConsPlusNormal"/>
              <w:jc w:val="right"/>
            </w:pPr>
          </w:p>
        </w:tc>
      </w:tr>
    </w:tbl>
    <w:p w:rsidR="00717C88" w:rsidRPr="005B33EA" w:rsidRDefault="00717C88">
      <w:pPr>
        <w:pStyle w:val="ConsPlusNormal"/>
        <w:ind w:firstLine="540"/>
        <w:jc w:val="both"/>
      </w:pPr>
      <w:r w:rsidRPr="005B33EA">
        <w:t>--------------------------------</w:t>
      </w:r>
    </w:p>
    <w:p w:rsidR="00717C88" w:rsidRPr="005B33EA" w:rsidRDefault="00717C88">
      <w:pPr>
        <w:pStyle w:val="ConsPlusNormal"/>
        <w:spacing w:before="220"/>
        <w:ind w:firstLine="540"/>
        <w:jc w:val="both"/>
      </w:pPr>
      <w:bookmarkStart w:id="5" w:name="P4092"/>
      <w:bookmarkEnd w:id="5"/>
      <w:r w:rsidRPr="005B33EA">
        <w:t>&lt;*&gt; Итоги по показателю подводятся ежемесячно.</w:t>
      </w:r>
    </w:p>
    <w:p w:rsidR="00440436" w:rsidRDefault="00717C88">
      <w:pPr>
        <w:pStyle w:val="ConsPlusNormal"/>
        <w:spacing w:before="220"/>
        <w:ind w:firstLine="540"/>
        <w:jc w:val="both"/>
      </w:pPr>
      <w:bookmarkStart w:id="6" w:name="P4093"/>
      <w:bookmarkEnd w:id="6"/>
      <w:r w:rsidRPr="005B33EA">
        <w:t>&lt;**&gt; Итоги по показателю подводятся ежеквартально.</w:t>
      </w:r>
      <w:r w:rsidR="00440436">
        <w:t xml:space="preserve"> </w:t>
      </w:r>
      <w:r w:rsidR="00440436">
        <w:br w:type="page"/>
      </w:r>
    </w:p>
    <w:p w:rsidR="00717C88" w:rsidRPr="005B33EA" w:rsidRDefault="00717C88">
      <w:pPr>
        <w:pStyle w:val="ConsPlusNormal"/>
        <w:spacing w:before="220"/>
        <w:ind w:firstLine="540"/>
        <w:jc w:val="both"/>
      </w:pPr>
    </w:p>
    <w:p w:rsidR="00F94EF1" w:rsidRPr="005B33EA" w:rsidRDefault="00F94EF1" w:rsidP="00F94EF1">
      <w:pPr>
        <w:pStyle w:val="ConsPlusNormal"/>
        <w:jc w:val="right"/>
      </w:pPr>
      <w:r w:rsidRPr="005B33EA">
        <w:t>Приложение 2</w:t>
      </w:r>
    </w:p>
    <w:p w:rsidR="00F94EF1" w:rsidRPr="005B33EA" w:rsidRDefault="00F94EF1" w:rsidP="00F94EF1">
      <w:pPr>
        <w:pStyle w:val="ConsPlusNormal"/>
        <w:jc w:val="right"/>
      </w:pPr>
      <w:r w:rsidRPr="005B33EA">
        <w:t xml:space="preserve">к Порядку и случаям предоставления бюджетам поселений </w:t>
      </w:r>
    </w:p>
    <w:p w:rsidR="00F94EF1" w:rsidRPr="005B33EA" w:rsidRDefault="00EB7196" w:rsidP="00F94EF1">
      <w:pPr>
        <w:pStyle w:val="ConsPlusNormal"/>
        <w:jc w:val="right"/>
      </w:pPr>
      <w:r>
        <w:t xml:space="preserve">Атяшевского </w:t>
      </w:r>
      <w:r w:rsidR="00F94EF1" w:rsidRPr="005B33EA">
        <w:t xml:space="preserve">муниципального района </w:t>
      </w:r>
    </w:p>
    <w:p w:rsidR="00F94EF1" w:rsidRPr="005B33EA" w:rsidRDefault="00F94EF1" w:rsidP="00F94EF1">
      <w:pPr>
        <w:pStyle w:val="ConsPlusNormal"/>
        <w:jc w:val="right"/>
      </w:pPr>
      <w:proofErr w:type="gramStart"/>
      <w:r w:rsidRPr="005B33EA">
        <w:t>трансфертов</w:t>
      </w:r>
      <w:proofErr w:type="gramEnd"/>
      <w:r w:rsidRPr="005B33EA">
        <w:t>,</w:t>
      </w:r>
      <w:r w:rsidR="00EB7196">
        <w:t xml:space="preserve"> </w:t>
      </w:r>
      <w:r w:rsidRPr="005B33EA">
        <w:t>выплачиваемых в зависимости от выполнения</w:t>
      </w:r>
    </w:p>
    <w:p w:rsidR="00717C88" w:rsidRPr="005B33EA" w:rsidRDefault="00F94EF1" w:rsidP="00F94EF1">
      <w:pPr>
        <w:pStyle w:val="ConsPlusNormal"/>
        <w:jc w:val="right"/>
      </w:pPr>
      <w:r w:rsidRPr="005B33EA">
        <w:t>социально-экономических показателей</w:t>
      </w:r>
    </w:p>
    <w:p w:rsidR="00717C88" w:rsidRPr="005B33EA" w:rsidRDefault="00717C88">
      <w:pPr>
        <w:pStyle w:val="ConsPlusTitle"/>
        <w:jc w:val="center"/>
      </w:pPr>
      <w:bookmarkStart w:id="7" w:name="P4120"/>
      <w:bookmarkEnd w:id="7"/>
      <w:r w:rsidRPr="005B33EA">
        <w:t>ПРИМЕР</w:t>
      </w:r>
    </w:p>
    <w:p w:rsidR="008E6C99" w:rsidRPr="005B33EA" w:rsidRDefault="00717C88">
      <w:pPr>
        <w:pStyle w:val="ConsPlusTitle"/>
        <w:jc w:val="center"/>
      </w:pPr>
      <w:r w:rsidRPr="005B33EA">
        <w:t>РАСЧЕТА И НАЧИСЛЕНИЯ</w:t>
      </w:r>
      <w:r w:rsidR="008E6C99" w:rsidRPr="005B33EA">
        <w:t xml:space="preserve"> БЮДЖЕТАМ ПОСЕЛЕНИЙ </w:t>
      </w:r>
      <w:r w:rsidR="00EB7196">
        <w:t>АТЯШЕВСКОГО</w:t>
      </w:r>
    </w:p>
    <w:p w:rsidR="00717C88" w:rsidRPr="005B33EA" w:rsidRDefault="008E6C99">
      <w:pPr>
        <w:pStyle w:val="ConsPlusTitle"/>
        <w:jc w:val="center"/>
      </w:pPr>
      <w:r w:rsidRPr="005B33EA">
        <w:t>МУНИЦИПАЛЬНОГО РАЙОНА</w:t>
      </w:r>
      <w:r w:rsidR="00717C88" w:rsidRPr="005B33EA">
        <w:t>,</w:t>
      </w:r>
      <w:r w:rsidR="00440436">
        <w:t xml:space="preserve"> </w:t>
      </w:r>
      <w:r w:rsidR="00717C88" w:rsidRPr="005B33EA">
        <w:t>ВЫПЛАЧИВАЕМЫХ В ЗАВИСИМОСТИ ОТ ВЫПОЛНЕНИЯ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247"/>
        <w:gridCol w:w="1247"/>
        <w:gridCol w:w="1191"/>
        <w:gridCol w:w="1191"/>
        <w:gridCol w:w="1191"/>
        <w:gridCol w:w="1191"/>
        <w:gridCol w:w="1304"/>
        <w:gridCol w:w="2069"/>
      </w:tblGrid>
      <w:tr w:rsidR="00717C88" w:rsidRPr="005B33EA" w:rsidTr="00440436">
        <w:trPr>
          <w:trHeight w:val="20"/>
        </w:trPr>
        <w:tc>
          <w:tcPr>
            <w:tcW w:w="4678" w:type="dxa"/>
            <w:vMerge w:val="restart"/>
          </w:tcPr>
          <w:p w:rsidR="00440436" w:rsidRDefault="00717C88">
            <w:pPr>
              <w:pStyle w:val="ConsPlusNormal"/>
              <w:jc w:val="center"/>
            </w:pPr>
            <w:r w:rsidRPr="005B33EA">
              <w:t>СОЦИАЛЬНО-ЭКОНОМИЧЕСКИХ ПОКАЗАТЕЛЕЙ</w:t>
            </w:r>
            <w:r w:rsidR="00440436">
              <w:t xml:space="preserve"> </w:t>
            </w:r>
          </w:p>
          <w:p w:rsidR="00717C88" w:rsidRPr="005B33EA" w:rsidRDefault="00717C88">
            <w:pPr>
              <w:pStyle w:val="ConsPlusNormal"/>
              <w:jc w:val="center"/>
            </w:pPr>
            <w:r w:rsidRPr="005B33EA">
              <w:t>Наименование показателей</w:t>
            </w:r>
          </w:p>
        </w:tc>
        <w:tc>
          <w:tcPr>
            <w:tcW w:w="2494" w:type="dxa"/>
            <w:gridSpan w:val="2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Прогноз</w:t>
            </w:r>
          </w:p>
        </w:tc>
        <w:tc>
          <w:tcPr>
            <w:tcW w:w="1191" w:type="dxa"/>
            <w:vMerge w:val="restart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Фактическое выполнение прогноза</w:t>
            </w:r>
          </w:p>
        </w:tc>
        <w:tc>
          <w:tcPr>
            <w:tcW w:w="2382" w:type="dxa"/>
            <w:gridSpan w:val="2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% выполнения</w:t>
            </w:r>
          </w:p>
        </w:tc>
        <w:tc>
          <w:tcPr>
            <w:tcW w:w="1191" w:type="dxa"/>
            <w:vMerge w:val="restart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Плановая доля показателя в сумме субсидии</w:t>
            </w:r>
          </w:p>
        </w:tc>
        <w:tc>
          <w:tcPr>
            <w:tcW w:w="1304" w:type="dxa"/>
            <w:vMerge w:val="restart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Плановая сумма субсидии, тыс. руб.</w:t>
            </w:r>
          </w:p>
        </w:tc>
        <w:tc>
          <w:tcPr>
            <w:tcW w:w="2069" w:type="dxa"/>
            <w:vMerge w:val="restart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Фактическая сумма субсидии за выполнение социально-экономических показателей, тыс. руб.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  <w:vMerge/>
          </w:tcPr>
          <w:p w:rsidR="00717C88" w:rsidRPr="005B33EA" w:rsidRDefault="00717C88"/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оптимально напряженный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утвержденный решением районного совета депутатов</w:t>
            </w:r>
          </w:p>
        </w:tc>
        <w:tc>
          <w:tcPr>
            <w:tcW w:w="1191" w:type="dxa"/>
            <w:vMerge/>
          </w:tcPr>
          <w:p w:rsidR="00717C88" w:rsidRPr="005B33EA" w:rsidRDefault="00717C88"/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оптимально напряженного прогноза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утвержденный решением районного совета депутатов</w:t>
            </w:r>
          </w:p>
        </w:tc>
        <w:tc>
          <w:tcPr>
            <w:tcW w:w="1191" w:type="dxa"/>
            <w:vMerge/>
          </w:tcPr>
          <w:p w:rsidR="00717C88" w:rsidRPr="005B33EA" w:rsidRDefault="00717C88"/>
        </w:tc>
        <w:tc>
          <w:tcPr>
            <w:tcW w:w="1304" w:type="dxa"/>
            <w:vMerge/>
          </w:tcPr>
          <w:p w:rsidR="00717C88" w:rsidRPr="005B33EA" w:rsidRDefault="00717C88"/>
        </w:tc>
        <w:tc>
          <w:tcPr>
            <w:tcW w:w="2069" w:type="dxa"/>
            <w:vMerge/>
          </w:tcPr>
          <w:p w:rsidR="00717C88" w:rsidRPr="005B33EA" w:rsidRDefault="00717C88"/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Сумма долей показателей (%)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110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</w:pP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(тыс. руб.)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113000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113000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112800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99,8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99,8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15041 (66180: 110 x 25)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15011 (15041 x 99,</w:t>
            </w:r>
            <w:proofErr w:type="gramStart"/>
            <w:r w:rsidRPr="005B33EA">
              <w:t>8 :</w:t>
            </w:r>
            <w:proofErr w:type="gramEnd"/>
            <w:r w:rsidRPr="005B33EA">
              <w:t xml:space="preserve"> 100)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Оценка качества управления финансами и платежеспособности муниципальных образований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 xml:space="preserve">21 </w:t>
            </w:r>
            <w:hyperlink w:anchor="P4259" w:history="1">
              <w:r w:rsidRPr="005B33EA"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-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95,2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-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6016,4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5728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Объем закупок скота и птицы от сельскохозяйственных организаций и крестьянских (фермерских) хозяйств (тонн)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835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755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780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93,4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103,3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3008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3017 (3008 x (100+ 3,3 x 0,1</w:t>
            </w:r>
            <w:proofErr w:type="gramStart"/>
            <w:r w:rsidRPr="005B33EA">
              <w:t>) :</w:t>
            </w:r>
            <w:proofErr w:type="gramEnd"/>
            <w:r w:rsidRPr="005B33EA">
              <w:t xml:space="preserve"> 100)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Объем закупок молока от сельскохозяйственных организаций и крестьянских (фермерских) хозяйств (тонн)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8760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8760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7800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89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89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9025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8032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 xml:space="preserve">Сохранность поголовья скота (КРС) в </w:t>
            </w:r>
            <w:r w:rsidRPr="005B33EA">
              <w:lastRenderedPageBreak/>
              <w:t>сельскохозяйственных организациях и крестьянских (фермерских) хозяйствах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lastRenderedPageBreak/>
              <w:t xml:space="preserve">280 </w:t>
            </w:r>
            <w:hyperlink w:anchor="P4257" w:history="1">
              <w:r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 xml:space="preserve">280 </w:t>
            </w:r>
            <w:hyperlink w:anchor="P4257" w:history="1">
              <w:r w:rsidRPr="005B33EA"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303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 xml:space="preserve">108,2 </w:t>
            </w:r>
            <w:hyperlink w:anchor="P4258" w:history="1">
              <w:r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 xml:space="preserve">108,2 </w:t>
            </w:r>
            <w:hyperlink w:anchor="P4258" w:history="1">
              <w:r w:rsidRPr="005B33EA"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9025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9765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lastRenderedPageBreak/>
              <w:t xml:space="preserve">Объем оборота розничной торговли во всех каналах реализации (тыс. руб.) K = </w:t>
            </w:r>
            <w:proofErr w:type="spellStart"/>
            <w:r w:rsidRPr="005B33EA">
              <w:t>J</w:t>
            </w:r>
            <w:proofErr w:type="gramStart"/>
            <w:r w:rsidRPr="005B33EA">
              <w:t>ф</w:t>
            </w:r>
            <w:proofErr w:type="spellEnd"/>
            <w:r w:rsidRPr="005B33EA">
              <w:t xml:space="preserve"> :</w:t>
            </w:r>
            <w:proofErr w:type="spellStart"/>
            <w:r w:rsidRPr="005B33EA">
              <w:t>J</w:t>
            </w:r>
            <w:proofErr w:type="gramEnd"/>
            <w:r w:rsidRPr="005B33EA">
              <w:t>п</w:t>
            </w:r>
            <w:proofErr w:type="spellEnd"/>
            <w:r w:rsidRPr="005B33EA">
              <w:t xml:space="preserve"> (106,0 : 105,5) = 1,005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180200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180200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254800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141,4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141,4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3008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3401 (3008 x (((141,4: 1,005 - 110) x 0,1) + 110): 100)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(тыс. руб.) K = </w:t>
            </w:r>
            <w:proofErr w:type="spellStart"/>
            <w:r w:rsidRPr="005B33EA">
              <w:t>J</w:t>
            </w:r>
            <w:proofErr w:type="gramStart"/>
            <w:r w:rsidRPr="005B33EA">
              <w:t>ф</w:t>
            </w:r>
            <w:proofErr w:type="spellEnd"/>
            <w:r w:rsidRPr="005B33EA">
              <w:t xml:space="preserve"> :</w:t>
            </w:r>
            <w:proofErr w:type="spellStart"/>
            <w:r w:rsidRPr="005B33EA">
              <w:t>J</w:t>
            </w:r>
            <w:proofErr w:type="gramEnd"/>
            <w:r w:rsidRPr="005B33EA">
              <w:t>п</w:t>
            </w:r>
            <w:proofErr w:type="spellEnd"/>
            <w:r w:rsidRPr="005B33EA">
              <w:t xml:space="preserve"> (107,1 : 110,4) = 0,97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85000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85000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80600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94,8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94,8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3008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2940 (3008 x (94,</w:t>
            </w:r>
            <w:proofErr w:type="gramStart"/>
            <w:r w:rsidRPr="005B33EA">
              <w:t>8 :</w:t>
            </w:r>
            <w:proofErr w:type="gramEnd"/>
            <w:r w:rsidRPr="005B33EA">
              <w:t xml:space="preserve"> 0,97): 100)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Темп роста среднемесячной номинальной начисленной заработной платы (%)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113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113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115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101,8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101,8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10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6016,4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6125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Общая площадь введенного в эксплуатацию жилья с учетом индивидуального жилищного строительства (кв. м)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3970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3260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2950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74,3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90,5</w:t>
            </w: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5</w:t>
            </w: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3008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2235 (3008 x 74,3: 100)</w:t>
            </w:r>
          </w:p>
        </w:tc>
      </w:tr>
      <w:tr w:rsidR="00717C88" w:rsidRPr="005B33EA" w:rsidTr="00440436">
        <w:trPr>
          <w:trHeight w:val="20"/>
        </w:trPr>
        <w:tc>
          <w:tcPr>
            <w:tcW w:w="4678" w:type="dxa"/>
          </w:tcPr>
          <w:p w:rsidR="00717C88" w:rsidRPr="005B33EA" w:rsidRDefault="00717C88">
            <w:pPr>
              <w:pStyle w:val="ConsPlusNormal"/>
            </w:pPr>
            <w:r w:rsidRPr="005B33EA">
              <w:t>Сумма начисленной субсидии за выполнение социально-экономических показателей (тыс. руб.)</w:t>
            </w: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247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191" w:type="dxa"/>
          </w:tcPr>
          <w:p w:rsidR="00717C88" w:rsidRPr="005B33EA" w:rsidRDefault="00717C88">
            <w:pPr>
              <w:pStyle w:val="ConsPlusNormal"/>
            </w:pPr>
          </w:p>
        </w:tc>
        <w:tc>
          <w:tcPr>
            <w:tcW w:w="1304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66180</w:t>
            </w:r>
          </w:p>
        </w:tc>
        <w:tc>
          <w:tcPr>
            <w:tcW w:w="2069" w:type="dxa"/>
          </w:tcPr>
          <w:p w:rsidR="00717C88" w:rsidRPr="005B33EA" w:rsidRDefault="00717C88">
            <w:pPr>
              <w:pStyle w:val="ConsPlusNormal"/>
              <w:jc w:val="center"/>
            </w:pPr>
            <w:r w:rsidRPr="005B33EA">
              <w:t>65149</w:t>
            </w:r>
          </w:p>
        </w:tc>
      </w:tr>
    </w:tbl>
    <w:p w:rsidR="00717C88" w:rsidRPr="005B33EA" w:rsidRDefault="00717C88">
      <w:pPr>
        <w:pStyle w:val="ConsPlusNormal"/>
        <w:ind w:firstLine="540"/>
        <w:jc w:val="both"/>
      </w:pPr>
      <w:r w:rsidRPr="005B33EA">
        <w:t>--------------------------------</w:t>
      </w:r>
    </w:p>
    <w:p w:rsidR="00717C88" w:rsidRPr="005B33EA" w:rsidRDefault="00717C88">
      <w:pPr>
        <w:pStyle w:val="ConsPlusNormal"/>
        <w:spacing w:before="220"/>
        <w:ind w:firstLine="540"/>
        <w:jc w:val="both"/>
      </w:pPr>
      <w:bookmarkStart w:id="8" w:name="P4257"/>
      <w:bookmarkEnd w:id="8"/>
      <w:r w:rsidRPr="005B33EA">
        <w:t>&lt;*&gt; Фактически сложившееся значение показателя за соответствующий период прошлого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</w:pPr>
      <w:bookmarkStart w:id="9" w:name="P4258"/>
      <w:bookmarkEnd w:id="9"/>
      <w:r w:rsidRPr="005B33EA">
        <w:t>&lt;**&gt; Темп роста показателя к соответствующему периоду прошлого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</w:pPr>
      <w:bookmarkStart w:id="10" w:name="P4259"/>
      <w:bookmarkEnd w:id="10"/>
      <w:r w:rsidRPr="005B33EA">
        <w:t>&lt;***&gt; Максимально возможная величина баллов.</w:t>
      </w:r>
    </w:p>
    <w:p w:rsidR="00440436" w:rsidRDefault="00440436">
      <w:pPr>
        <w:pStyle w:val="ConsPlusNormal"/>
        <w:jc w:val="both"/>
        <w:sectPr w:rsidR="00440436" w:rsidSect="00440436">
          <w:pgSz w:w="16838" w:h="11905" w:orient="landscape"/>
          <w:pgMar w:top="568" w:right="1134" w:bottom="850" w:left="1134" w:header="0" w:footer="0" w:gutter="0"/>
          <w:cols w:space="720"/>
          <w:docGrid w:linePitch="299"/>
        </w:sectPr>
      </w:pPr>
    </w:p>
    <w:p w:rsidR="003E4BC3" w:rsidRPr="005B33EA" w:rsidRDefault="003E4BC3">
      <w:pPr>
        <w:pStyle w:val="ConsPlusNormal"/>
        <w:jc w:val="both"/>
      </w:pPr>
    </w:p>
    <w:p w:rsidR="00F94EF1" w:rsidRPr="005B33EA" w:rsidRDefault="00F94EF1" w:rsidP="003E4BC3">
      <w:pPr>
        <w:pStyle w:val="ConsPlusNormal"/>
        <w:tabs>
          <w:tab w:val="left" w:pos="8789"/>
          <w:tab w:val="left" w:pos="15735"/>
        </w:tabs>
        <w:ind w:left="426"/>
        <w:jc w:val="right"/>
      </w:pPr>
      <w:r w:rsidRPr="005B33EA">
        <w:t>Приложение 3</w:t>
      </w:r>
    </w:p>
    <w:p w:rsidR="00F94EF1" w:rsidRPr="005B33EA" w:rsidRDefault="00F94EF1" w:rsidP="00F94EF1">
      <w:pPr>
        <w:pStyle w:val="ConsPlusNormal"/>
        <w:jc w:val="right"/>
      </w:pPr>
      <w:r w:rsidRPr="005B33EA">
        <w:t xml:space="preserve">к Порядку и случаям предоставления бюджетам поселений </w:t>
      </w:r>
    </w:p>
    <w:p w:rsidR="00F94EF1" w:rsidRPr="005B33EA" w:rsidRDefault="00EB7196" w:rsidP="00F94EF1">
      <w:pPr>
        <w:pStyle w:val="ConsPlusNormal"/>
        <w:jc w:val="right"/>
      </w:pPr>
      <w:r>
        <w:t xml:space="preserve">Атяшевского </w:t>
      </w:r>
      <w:r w:rsidR="00F94EF1" w:rsidRPr="005B33EA">
        <w:t xml:space="preserve">муниципального района </w:t>
      </w:r>
    </w:p>
    <w:p w:rsidR="00F94EF1" w:rsidRPr="005B33EA" w:rsidRDefault="00F94EF1" w:rsidP="00F94EF1">
      <w:pPr>
        <w:pStyle w:val="ConsPlusNormal"/>
        <w:jc w:val="right"/>
      </w:pPr>
      <w:proofErr w:type="gramStart"/>
      <w:r w:rsidRPr="005B33EA">
        <w:t>трансфертов</w:t>
      </w:r>
      <w:proofErr w:type="gramEnd"/>
      <w:r w:rsidRPr="005B33EA">
        <w:t>,</w:t>
      </w:r>
      <w:r w:rsidR="00EB7196">
        <w:t xml:space="preserve"> </w:t>
      </w:r>
      <w:r w:rsidRPr="005B33EA">
        <w:t>выплачиваемых в зависимости от выполнения</w:t>
      </w:r>
    </w:p>
    <w:p w:rsidR="00717C88" w:rsidRPr="005B33EA" w:rsidRDefault="00F94EF1" w:rsidP="00F94EF1">
      <w:pPr>
        <w:pStyle w:val="ConsPlusNormal"/>
        <w:jc w:val="right"/>
      </w:pPr>
      <w:r w:rsidRPr="005B33EA">
        <w:t>социально-экономических показателей</w:t>
      </w:r>
    </w:p>
    <w:p w:rsidR="00717C88" w:rsidRPr="005B33EA" w:rsidRDefault="00717C88" w:rsidP="006949A8">
      <w:pPr>
        <w:pStyle w:val="ConsPlusNormal"/>
        <w:jc w:val="both"/>
      </w:pPr>
    </w:p>
    <w:p w:rsidR="00717C88" w:rsidRPr="005B33EA" w:rsidRDefault="00717C88" w:rsidP="00F94EF1">
      <w:pPr>
        <w:pStyle w:val="ConsPlusNormal"/>
        <w:jc w:val="center"/>
      </w:pPr>
      <w:bookmarkStart w:id="11" w:name="P4270"/>
      <w:bookmarkEnd w:id="11"/>
      <w:r w:rsidRPr="005B33EA">
        <w:t>ОТЧЕТ</w:t>
      </w:r>
    </w:p>
    <w:p w:rsidR="00717C88" w:rsidRPr="005B33EA" w:rsidRDefault="00717C88" w:rsidP="00F94EF1">
      <w:pPr>
        <w:pStyle w:val="ConsPlusNormal"/>
        <w:jc w:val="center"/>
      </w:pPr>
      <w:r w:rsidRPr="005B33EA">
        <w:t>о целевом использовании</w:t>
      </w:r>
      <w:r w:rsidR="000A786E" w:rsidRPr="005B33EA">
        <w:t xml:space="preserve"> трансфертов</w:t>
      </w:r>
      <w:r w:rsidRPr="005B33EA">
        <w:t>,</w:t>
      </w:r>
    </w:p>
    <w:p w:rsidR="00717C88" w:rsidRPr="005B33EA" w:rsidRDefault="00717C88" w:rsidP="00F94EF1">
      <w:pPr>
        <w:pStyle w:val="ConsPlusNormal"/>
        <w:jc w:val="center"/>
      </w:pPr>
      <w:r w:rsidRPr="005B33EA">
        <w:t>выплачиваемых в зависимости от выполнения</w:t>
      </w:r>
    </w:p>
    <w:p w:rsidR="00717C88" w:rsidRPr="005B33EA" w:rsidRDefault="00717C88" w:rsidP="00F94EF1">
      <w:pPr>
        <w:pStyle w:val="ConsPlusNormal"/>
        <w:jc w:val="center"/>
      </w:pPr>
      <w:r w:rsidRPr="005B33EA">
        <w:t>социально-экономических показателей по</w:t>
      </w:r>
    </w:p>
    <w:p w:rsidR="00717C88" w:rsidRPr="005B33EA" w:rsidRDefault="00717C88" w:rsidP="00F94EF1">
      <w:pPr>
        <w:pStyle w:val="ConsPlusNormal"/>
        <w:jc w:val="center"/>
      </w:pPr>
      <w:r w:rsidRPr="005B33EA">
        <w:t>_________________________________________</w:t>
      </w:r>
    </w:p>
    <w:p w:rsidR="00717C88" w:rsidRPr="005B33EA" w:rsidRDefault="00717C88" w:rsidP="00F94EF1">
      <w:pPr>
        <w:pStyle w:val="ConsPlusNormal"/>
        <w:jc w:val="center"/>
      </w:pPr>
      <w:r w:rsidRPr="005B33EA">
        <w:t>(наименование</w:t>
      </w:r>
      <w:r w:rsidR="000A786E" w:rsidRPr="005B33EA">
        <w:t xml:space="preserve"> поселения</w:t>
      </w:r>
      <w:r w:rsidRPr="005B33EA">
        <w:t>)</w:t>
      </w:r>
    </w:p>
    <w:p w:rsidR="00717C88" w:rsidRPr="005B33EA" w:rsidRDefault="00717C88" w:rsidP="00F94EF1">
      <w:pPr>
        <w:pStyle w:val="ConsPlusNormal"/>
        <w:jc w:val="center"/>
      </w:pPr>
      <w:r w:rsidRPr="005B33EA">
        <w:t>по состоянию на ________________________</w:t>
      </w:r>
    </w:p>
    <w:p w:rsidR="00717C88" w:rsidRPr="005B33EA" w:rsidRDefault="00717C88" w:rsidP="00D84C84">
      <w:pPr>
        <w:pStyle w:val="ConsPlusNormal"/>
        <w:jc w:val="right"/>
      </w:pPr>
      <w:r w:rsidRPr="005B33EA">
        <w:t>тыс. рублей)</w:t>
      </w:r>
    </w:p>
    <w:p w:rsidR="00717C88" w:rsidRPr="005B33EA" w:rsidRDefault="00717C88" w:rsidP="006949A8">
      <w:pPr>
        <w:spacing w:after="1"/>
        <w:jc w:val="both"/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559"/>
        <w:gridCol w:w="1134"/>
        <w:gridCol w:w="992"/>
        <w:gridCol w:w="1134"/>
        <w:gridCol w:w="1276"/>
        <w:gridCol w:w="1134"/>
        <w:gridCol w:w="1417"/>
        <w:gridCol w:w="992"/>
        <w:gridCol w:w="1133"/>
        <w:gridCol w:w="1134"/>
        <w:gridCol w:w="993"/>
      </w:tblGrid>
      <w:tr w:rsidR="00DD54B2" w:rsidRPr="005B33EA" w:rsidTr="00440436">
        <w:trPr>
          <w:trHeight w:val="1092"/>
        </w:trPr>
        <w:tc>
          <w:tcPr>
            <w:tcW w:w="1418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 xml:space="preserve">Наименование расходного обязательства, на </w:t>
            </w:r>
            <w:proofErr w:type="spellStart"/>
            <w:r w:rsidRPr="005B33EA">
              <w:t>софинанс</w:t>
            </w:r>
            <w:r w:rsidR="002377E4" w:rsidRPr="005B33EA">
              <w:t>ирование</w:t>
            </w:r>
            <w:proofErr w:type="spellEnd"/>
            <w:r w:rsidR="002377E4" w:rsidRPr="005B33EA">
              <w:t xml:space="preserve"> которого предоставлен трансферт</w:t>
            </w:r>
          </w:p>
        </w:tc>
        <w:tc>
          <w:tcPr>
            <w:tcW w:w="851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 xml:space="preserve">Остаток средств </w:t>
            </w:r>
            <w:r w:rsidR="002377E4" w:rsidRPr="005B33EA">
              <w:t xml:space="preserve">местного </w:t>
            </w:r>
            <w:r w:rsidRPr="005B33EA">
              <w:t>бюджета на 1 января текущего года, потребность в котором подтверждена</w:t>
            </w:r>
          </w:p>
        </w:tc>
        <w:tc>
          <w:tcPr>
            <w:tcW w:w="3260" w:type="dxa"/>
            <w:gridSpan w:val="3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Предусмотрено средств на текущий год</w:t>
            </w:r>
          </w:p>
        </w:tc>
        <w:tc>
          <w:tcPr>
            <w:tcW w:w="1276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Предусмотрено за счет средств бюджета</w:t>
            </w:r>
            <w:r w:rsidR="00212B7A" w:rsidRPr="005B33EA">
              <w:t xml:space="preserve"> поселения</w:t>
            </w:r>
            <w:r w:rsidRPr="005B33EA">
              <w:t>, %</w:t>
            </w:r>
          </w:p>
        </w:tc>
        <w:tc>
          <w:tcPr>
            <w:tcW w:w="1134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Поступило средств из бюджета</w:t>
            </w:r>
            <w:r w:rsidR="00212B7A" w:rsidRPr="005B33EA">
              <w:t xml:space="preserve">района </w:t>
            </w:r>
            <w:r w:rsidRPr="005B33EA">
              <w:t xml:space="preserve">в бюджет </w:t>
            </w:r>
            <w:r w:rsidR="00212B7A" w:rsidRPr="005B33EA">
              <w:t xml:space="preserve">поселения </w:t>
            </w:r>
            <w:r w:rsidRPr="005B33EA">
              <w:t>на отчетную дату</w:t>
            </w:r>
          </w:p>
        </w:tc>
        <w:tc>
          <w:tcPr>
            <w:tcW w:w="3542" w:type="dxa"/>
            <w:gridSpan w:val="3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 xml:space="preserve">Произведено расходов администрацией </w:t>
            </w:r>
            <w:r w:rsidR="00362046" w:rsidRPr="005B33EA">
              <w:t>поселени</w:t>
            </w:r>
            <w:r w:rsidRPr="005B33EA">
              <w:t>я на отчетную дату</w:t>
            </w:r>
          </w:p>
        </w:tc>
        <w:tc>
          <w:tcPr>
            <w:tcW w:w="1134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Фактический уровень финансирования за счет средств бюджета</w:t>
            </w:r>
            <w:r w:rsidR="00212B7A" w:rsidRPr="005B33EA">
              <w:t xml:space="preserve"> поселения</w:t>
            </w:r>
            <w:r w:rsidRPr="005B33EA">
              <w:t>, %</w:t>
            </w:r>
          </w:p>
        </w:tc>
        <w:tc>
          <w:tcPr>
            <w:tcW w:w="993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 xml:space="preserve">Остаток средств </w:t>
            </w:r>
            <w:r w:rsidR="006949A8" w:rsidRPr="005B33EA">
              <w:t xml:space="preserve">бюджета поселения </w:t>
            </w:r>
            <w:r w:rsidRPr="005B33EA">
              <w:t>на лицевых счетах</w:t>
            </w:r>
          </w:p>
        </w:tc>
      </w:tr>
      <w:tr w:rsidR="00A1098C" w:rsidRPr="005B33EA" w:rsidTr="00440436">
        <w:tc>
          <w:tcPr>
            <w:tcW w:w="1418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851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559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134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всего</w:t>
            </w:r>
          </w:p>
        </w:tc>
        <w:tc>
          <w:tcPr>
            <w:tcW w:w="2126" w:type="dxa"/>
            <w:gridSpan w:val="2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в том числе за счет средств</w:t>
            </w:r>
          </w:p>
        </w:tc>
        <w:tc>
          <w:tcPr>
            <w:tcW w:w="1276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134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417" w:type="dxa"/>
            <w:vMerge w:val="restart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всего</w:t>
            </w:r>
          </w:p>
        </w:tc>
        <w:tc>
          <w:tcPr>
            <w:tcW w:w="2125" w:type="dxa"/>
            <w:gridSpan w:val="2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в том числе за счет средств</w:t>
            </w:r>
          </w:p>
        </w:tc>
        <w:tc>
          <w:tcPr>
            <w:tcW w:w="1134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993" w:type="dxa"/>
            <w:vMerge/>
          </w:tcPr>
          <w:p w:rsidR="00717C88" w:rsidRPr="005B33EA" w:rsidRDefault="00717C88" w:rsidP="006949A8">
            <w:pPr>
              <w:jc w:val="both"/>
            </w:pPr>
          </w:p>
        </w:tc>
      </w:tr>
      <w:tr w:rsidR="007573C9" w:rsidRPr="005B33EA" w:rsidTr="00440436">
        <w:tc>
          <w:tcPr>
            <w:tcW w:w="1418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851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559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134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992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 xml:space="preserve">бюджета </w:t>
            </w:r>
            <w:r w:rsidR="00212B7A" w:rsidRPr="005B33EA">
              <w:t>района</w:t>
            </w:r>
          </w:p>
        </w:tc>
        <w:tc>
          <w:tcPr>
            <w:tcW w:w="1134" w:type="dxa"/>
          </w:tcPr>
          <w:p w:rsidR="00717C88" w:rsidRPr="005B33EA" w:rsidRDefault="00212B7A" w:rsidP="006949A8">
            <w:pPr>
              <w:pStyle w:val="ConsPlusNormal"/>
              <w:jc w:val="both"/>
            </w:pPr>
            <w:r w:rsidRPr="005B33EA">
              <w:t>Б</w:t>
            </w:r>
            <w:r w:rsidR="00717C88" w:rsidRPr="005B33EA">
              <w:t>юджета</w:t>
            </w:r>
            <w:r w:rsidRPr="005B33EA">
              <w:t xml:space="preserve"> поселения</w:t>
            </w:r>
          </w:p>
        </w:tc>
        <w:tc>
          <w:tcPr>
            <w:tcW w:w="1276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134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1417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992" w:type="dxa"/>
          </w:tcPr>
          <w:p w:rsidR="00717C88" w:rsidRPr="005B33EA" w:rsidRDefault="00212B7A" w:rsidP="006949A8">
            <w:pPr>
              <w:pStyle w:val="ConsPlusNormal"/>
              <w:jc w:val="both"/>
            </w:pPr>
            <w:r w:rsidRPr="005B33EA">
              <w:t>Бюджета района</w:t>
            </w:r>
          </w:p>
        </w:tc>
        <w:tc>
          <w:tcPr>
            <w:tcW w:w="1133" w:type="dxa"/>
          </w:tcPr>
          <w:p w:rsidR="00717C88" w:rsidRPr="005B33EA" w:rsidRDefault="00212B7A" w:rsidP="006949A8">
            <w:pPr>
              <w:pStyle w:val="ConsPlusNormal"/>
              <w:jc w:val="both"/>
            </w:pPr>
            <w:r w:rsidRPr="005B33EA">
              <w:t>Б</w:t>
            </w:r>
            <w:r w:rsidR="00717C88" w:rsidRPr="005B33EA">
              <w:t>юджета</w:t>
            </w:r>
            <w:r w:rsidRPr="005B33EA">
              <w:t xml:space="preserve"> поселения</w:t>
            </w:r>
          </w:p>
        </w:tc>
        <w:tc>
          <w:tcPr>
            <w:tcW w:w="1134" w:type="dxa"/>
            <w:vMerge/>
          </w:tcPr>
          <w:p w:rsidR="00717C88" w:rsidRPr="005B33EA" w:rsidRDefault="00717C88" w:rsidP="006949A8">
            <w:pPr>
              <w:jc w:val="both"/>
            </w:pPr>
          </w:p>
        </w:tc>
        <w:tc>
          <w:tcPr>
            <w:tcW w:w="993" w:type="dxa"/>
            <w:vMerge/>
          </w:tcPr>
          <w:p w:rsidR="00717C88" w:rsidRPr="005B33EA" w:rsidRDefault="00717C88" w:rsidP="006949A8">
            <w:pPr>
              <w:jc w:val="both"/>
            </w:pPr>
          </w:p>
        </w:tc>
      </w:tr>
      <w:tr w:rsidR="007573C9" w:rsidRPr="005B33EA" w:rsidTr="00440436">
        <w:trPr>
          <w:trHeight w:val="628"/>
        </w:trPr>
        <w:tc>
          <w:tcPr>
            <w:tcW w:w="1418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1</w:t>
            </w:r>
          </w:p>
        </w:tc>
        <w:tc>
          <w:tcPr>
            <w:tcW w:w="851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2</w:t>
            </w:r>
          </w:p>
        </w:tc>
        <w:tc>
          <w:tcPr>
            <w:tcW w:w="1559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3</w:t>
            </w: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гр. 4 = гр. 5 + гр. 6</w:t>
            </w:r>
          </w:p>
        </w:tc>
        <w:tc>
          <w:tcPr>
            <w:tcW w:w="992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5</w:t>
            </w: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6</w:t>
            </w:r>
          </w:p>
        </w:tc>
        <w:tc>
          <w:tcPr>
            <w:tcW w:w="1276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гр. 7 = гр. 6 / гр. 4</w:t>
            </w: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8</w:t>
            </w:r>
          </w:p>
        </w:tc>
        <w:tc>
          <w:tcPr>
            <w:tcW w:w="1417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гр. 9 = гр. 10 + гр. 11</w:t>
            </w:r>
          </w:p>
        </w:tc>
        <w:tc>
          <w:tcPr>
            <w:tcW w:w="992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10</w:t>
            </w:r>
          </w:p>
        </w:tc>
        <w:tc>
          <w:tcPr>
            <w:tcW w:w="1133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11</w:t>
            </w: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гр. 12 = гр. 11 / гр. 9</w:t>
            </w:r>
          </w:p>
        </w:tc>
        <w:tc>
          <w:tcPr>
            <w:tcW w:w="993" w:type="dxa"/>
          </w:tcPr>
          <w:p w:rsidR="00717C88" w:rsidRPr="005B33EA" w:rsidRDefault="00717C88" w:rsidP="006949A8">
            <w:pPr>
              <w:pStyle w:val="ConsPlusNormal"/>
              <w:jc w:val="both"/>
            </w:pPr>
            <w:r w:rsidRPr="005B33EA">
              <w:t>гр. 13 = гр. 3 + гр. 8 - гр. 10</w:t>
            </w:r>
          </w:p>
        </w:tc>
      </w:tr>
      <w:tr w:rsidR="007573C9" w:rsidRPr="005B33EA" w:rsidTr="00440436">
        <w:tc>
          <w:tcPr>
            <w:tcW w:w="1418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717C88" w:rsidRPr="005B33EA" w:rsidRDefault="00717C88" w:rsidP="006949A8">
            <w:pPr>
              <w:pStyle w:val="ConsPlusNormal"/>
              <w:jc w:val="both"/>
            </w:pPr>
          </w:p>
        </w:tc>
      </w:tr>
    </w:tbl>
    <w:p w:rsidR="00717C88" w:rsidRPr="005B33EA" w:rsidRDefault="00717C88" w:rsidP="006949A8">
      <w:pPr>
        <w:pStyle w:val="ConsPlusNormal"/>
        <w:jc w:val="both"/>
      </w:pPr>
    </w:p>
    <w:p w:rsidR="00717C88" w:rsidRDefault="00717C88" w:rsidP="006949A8">
      <w:pPr>
        <w:pStyle w:val="ConsPlusNormal"/>
        <w:ind w:firstLine="540"/>
        <w:jc w:val="both"/>
      </w:pPr>
      <w:r w:rsidRPr="005B33EA">
        <w:t xml:space="preserve">Глава </w:t>
      </w:r>
      <w:r w:rsidR="00362046" w:rsidRPr="005B33EA">
        <w:t>(Глава А</w:t>
      </w:r>
      <w:r w:rsidRPr="005B33EA">
        <w:t>дминистрации</w:t>
      </w:r>
      <w:r w:rsidR="00362046" w:rsidRPr="005B33EA">
        <w:t>)поселения</w:t>
      </w:r>
      <w:r w:rsidRPr="005B33EA">
        <w:t>___________________ (Ф.И.О.)</w:t>
      </w:r>
    </w:p>
    <w:sectPr w:rsidR="00717C88" w:rsidSect="00440436">
      <w:pgSz w:w="16838" w:h="11905" w:orient="landscape"/>
      <w:pgMar w:top="568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C88"/>
    <w:rsid w:val="0000044C"/>
    <w:rsid w:val="0002597F"/>
    <w:rsid w:val="00086530"/>
    <w:rsid w:val="000A5757"/>
    <w:rsid w:val="000A786E"/>
    <w:rsid w:val="000E7D53"/>
    <w:rsid w:val="001005D1"/>
    <w:rsid w:val="00100AE6"/>
    <w:rsid w:val="00120419"/>
    <w:rsid w:val="0013613C"/>
    <w:rsid w:val="001410C5"/>
    <w:rsid w:val="001502E3"/>
    <w:rsid w:val="00164444"/>
    <w:rsid w:val="00174EB4"/>
    <w:rsid w:val="001C41C2"/>
    <w:rsid w:val="001D304B"/>
    <w:rsid w:val="001F5218"/>
    <w:rsid w:val="00205A57"/>
    <w:rsid w:val="00212B7A"/>
    <w:rsid w:val="002377E4"/>
    <w:rsid w:val="002B5CAB"/>
    <w:rsid w:val="002C1489"/>
    <w:rsid w:val="002D0B24"/>
    <w:rsid w:val="002E6396"/>
    <w:rsid w:val="002E70E1"/>
    <w:rsid w:val="00300360"/>
    <w:rsid w:val="0034750F"/>
    <w:rsid w:val="00362046"/>
    <w:rsid w:val="00363157"/>
    <w:rsid w:val="00383300"/>
    <w:rsid w:val="0039713B"/>
    <w:rsid w:val="003B1998"/>
    <w:rsid w:val="003C03C5"/>
    <w:rsid w:val="003E21E9"/>
    <w:rsid w:val="003E2A6A"/>
    <w:rsid w:val="003E4BC3"/>
    <w:rsid w:val="004014A2"/>
    <w:rsid w:val="00404655"/>
    <w:rsid w:val="00423A24"/>
    <w:rsid w:val="0042436B"/>
    <w:rsid w:val="00440436"/>
    <w:rsid w:val="00440C55"/>
    <w:rsid w:val="00466AC1"/>
    <w:rsid w:val="004670ED"/>
    <w:rsid w:val="004733F3"/>
    <w:rsid w:val="004736BC"/>
    <w:rsid w:val="00506C0C"/>
    <w:rsid w:val="00556A00"/>
    <w:rsid w:val="00563252"/>
    <w:rsid w:val="005A78D2"/>
    <w:rsid w:val="005B33EA"/>
    <w:rsid w:val="005F53BB"/>
    <w:rsid w:val="005F67C9"/>
    <w:rsid w:val="00621477"/>
    <w:rsid w:val="00651B6B"/>
    <w:rsid w:val="006949A8"/>
    <w:rsid w:val="006B25D2"/>
    <w:rsid w:val="006D3BE6"/>
    <w:rsid w:val="00717C88"/>
    <w:rsid w:val="007573C9"/>
    <w:rsid w:val="007B39CB"/>
    <w:rsid w:val="008049E7"/>
    <w:rsid w:val="00806300"/>
    <w:rsid w:val="00827A85"/>
    <w:rsid w:val="008303C8"/>
    <w:rsid w:val="008307EC"/>
    <w:rsid w:val="008414CD"/>
    <w:rsid w:val="00841F81"/>
    <w:rsid w:val="00874202"/>
    <w:rsid w:val="00890385"/>
    <w:rsid w:val="008C0BEB"/>
    <w:rsid w:val="008E6C99"/>
    <w:rsid w:val="008F124F"/>
    <w:rsid w:val="008F393A"/>
    <w:rsid w:val="00906E96"/>
    <w:rsid w:val="00940A5B"/>
    <w:rsid w:val="009557D6"/>
    <w:rsid w:val="009775EA"/>
    <w:rsid w:val="0098180E"/>
    <w:rsid w:val="009B6537"/>
    <w:rsid w:val="009E0087"/>
    <w:rsid w:val="009F1019"/>
    <w:rsid w:val="009F10E6"/>
    <w:rsid w:val="00A1098C"/>
    <w:rsid w:val="00A531E8"/>
    <w:rsid w:val="00A82435"/>
    <w:rsid w:val="00AE1570"/>
    <w:rsid w:val="00B00AA5"/>
    <w:rsid w:val="00B2359C"/>
    <w:rsid w:val="00B35676"/>
    <w:rsid w:val="00B754DC"/>
    <w:rsid w:val="00BA74B1"/>
    <w:rsid w:val="00C17517"/>
    <w:rsid w:val="00C314E5"/>
    <w:rsid w:val="00C406D5"/>
    <w:rsid w:val="00C643C1"/>
    <w:rsid w:val="00C7474B"/>
    <w:rsid w:val="00C80D14"/>
    <w:rsid w:val="00CA2D1D"/>
    <w:rsid w:val="00CA42F6"/>
    <w:rsid w:val="00CB6F4E"/>
    <w:rsid w:val="00CC5A1C"/>
    <w:rsid w:val="00CD2CF4"/>
    <w:rsid w:val="00CE4D80"/>
    <w:rsid w:val="00CE5405"/>
    <w:rsid w:val="00D01787"/>
    <w:rsid w:val="00D21EBD"/>
    <w:rsid w:val="00D22798"/>
    <w:rsid w:val="00D84C84"/>
    <w:rsid w:val="00DD54B2"/>
    <w:rsid w:val="00DD7192"/>
    <w:rsid w:val="00DF5976"/>
    <w:rsid w:val="00E12556"/>
    <w:rsid w:val="00E3332E"/>
    <w:rsid w:val="00E471E4"/>
    <w:rsid w:val="00E715CA"/>
    <w:rsid w:val="00EA0710"/>
    <w:rsid w:val="00EB7196"/>
    <w:rsid w:val="00EC5076"/>
    <w:rsid w:val="00F04633"/>
    <w:rsid w:val="00F43119"/>
    <w:rsid w:val="00F66758"/>
    <w:rsid w:val="00F94EF1"/>
    <w:rsid w:val="00FB2785"/>
    <w:rsid w:val="00FB6FF2"/>
    <w:rsid w:val="00FC3061"/>
    <w:rsid w:val="00FD5790"/>
    <w:rsid w:val="00FE1C06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5ACC-FBCE-43C5-8D0E-F8C6AE1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00"/>
  </w:style>
  <w:style w:type="paragraph" w:styleId="3">
    <w:name w:val="heading 3"/>
    <w:basedOn w:val="a"/>
    <w:next w:val="a"/>
    <w:link w:val="30"/>
    <w:qFormat/>
    <w:rsid w:val="00C314E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14E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4E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14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CA7438372D1BF07717CB5B02FFC26DB3FDEB91D4C855611F1A3A9E4BFDE821255555419DC5AD18EE8DD51EBF3FAD783BF0AF514E19o6i0N" TargetMode="External"/><Relationship Id="rId5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98CF-19AF-4C9A-B2B6-C53E805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10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Карева</cp:lastModifiedBy>
  <cp:revision>117</cp:revision>
  <cp:lastPrinted>2019-04-22T13:54:00Z</cp:lastPrinted>
  <dcterms:created xsi:type="dcterms:W3CDTF">2019-01-28T13:34:00Z</dcterms:created>
  <dcterms:modified xsi:type="dcterms:W3CDTF">2019-04-22T13:58:00Z</dcterms:modified>
</cp:coreProperties>
</file>