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W w:w="2500" w:type="pct"/>
        <w:tblCellSpacing w:w="15" w:type="dxa"/>
        <w:tblInd w:w="30" w:type="dxa"/>
        <w:tblBorders>
          <w:top w:val="single" w:color="808080" w:sz="6" w:space="0"/>
          <w:left w:val="single" w:color="808080" w:sz="6" w:space="0"/>
          <w:bottom w:val="single" w:color="808080" w:sz="6" w:space="0"/>
          <w:right w:val="single" w:color="808080" w:sz="6" w:space="0"/>
        </w:tblBorders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4770"/>
      </w:tblGrid>
      <w:tr>
        <w:trPr>
          <w:tblCellSpacing w:w="15" w:type="dxa"/>
        </w:trPr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22" w:type="dxa"/>
              <w:top w:w="22" w:type="dxa"/>
              <w:right w:w="22" w:type="dxa"/>
              <w:bottom w:w="22" w:type="dxa"/>
            </w:tcMar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Документ подписан ЭП от 30.11.2023 12:16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Владелец: 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Николаев Константин Николаевич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ГЛАВА АТЯШЕВСКОГО МУНИЦИПАЛЬНОГО РАЙОНА РЕСПУБЛИКИ МОРДОВИЯ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АДМИНИСТРАЦИЯ АТЯШЕВСКОГО МУНИЦИПАЛЬНОГО РАЙОНА РЕСПУБЛИКИ МОРДОВИЯ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Сертификат: 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00C24C17B651D07C0DB64D4B47BFF6DA1E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Алгоритм: 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ГОСТ Р 34.10-2012 256 бит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Действителен: 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 03.05.2023 по 26.07.2024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/>
                <w:bCs/>
                <w:i w:val="0"/>
                <w:iCs w:val="0"/>
                <w:smallCaps w:val="0"/>
                <w:color w:val="000000"/>
              </w:rPr>
              <w:t xml:space="preserve">Издатель: 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Казначейство России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</w:tbl>
    <w:p>
      <w:pPr>
        <w:pStyle w:val="630"/>
        <w:keepNext w:val="false"/>
        <w:pBdr/>
        <w:shd w:val="clear" w:color="auto" w:fill="ffffff"/>
        <w:spacing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aps/>
          <w:color w:val="000000"/>
          <w:sz w:val="32"/>
          <w:szCs w:val="32"/>
        </w:rPr>
        <w:t xml:space="preserve">Р Е Ш Е Н И Е</w:t>
      </w:r>
      <w:r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r>
    </w:p>
    <w:p>
      <w:pPr>
        <w:pStyle w:val="630"/>
        <w:keepNext w:val="false"/>
        <w:pBdr/>
        <w:shd w:val="clear" w:color="auto" w:fill="ffffff"/>
        <w:spacing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aps/>
          <w:color w:val="000000"/>
          <w:sz w:val="32"/>
          <w:szCs w:val="32"/>
        </w:rPr>
        <w:t xml:space="preserve"> СОВЕТА ДЕПУТАТОВ</w:t>
      </w:r>
      <w:r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r>
    </w:p>
    <w:p>
      <w:pPr>
        <w:pStyle w:val="630"/>
        <w:keepNext w:val="false"/>
        <w:pBdr/>
        <w:shd w:val="clear" w:color="auto" w:fill="ffffff"/>
        <w:spacing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aps/>
          <w:color w:val="000000"/>
          <w:sz w:val="32"/>
          <w:szCs w:val="32"/>
        </w:rPr>
        <w:t xml:space="preserve">АТЯШЕВСКОГО МУНИЦИПАЛЬНОГО РАЙОНА</w:t>
      </w:r>
      <w:r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r>
    </w:p>
    <w:p>
      <w:pPr>
        <w:pStyle w:val="630"/>
        <w:keepNext w:val="false"/>
        <w:pBdr/>
        <w:shd w:val="clear" w:color="auto" w:fill="ffffff"/>
        <w:spacing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aps/>
          <w:color w:val="000000"/>
          <w:sz w:val="32"/>
          <w:szCs w:val="32"/>
        </w:rPr>
        <w:t xml:space="preserve">Республики Мордовия</w:t>
      </w:r>
      <w:r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r>
    </w:p>
    <w:p>
      <w:pPr>
        <w:pBdr/>
        <w:spacing w:after="240" w:before="240"/>
        <w:ind/>
        <w:rPr/>
      </w:pPr>
      <w:r>
        <w:t xml:space="preserve"> </w:t>
      </w:r>
      <w:r/>
    </w:p>
    <w:p>
      <w:pPr>
        <w:pStyle w:val="633"/>
        <w:keepNext w:val="false"/>
        <w:pBdr/>
        <w:shd w:val="clear" w:color="auto" w:fill="ffffff"/>
        <w:spacing w:after="0" w:before="0"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olor w:val="000000"/>
          <w:sz w:val="32"/>
          <w:szCs w:val="32"/>
        </w:rPr>
        <w:t xml:space="preserve">21.11.2023 г.                 № 45   </w:t>
      </w:r>
      <w:r>
        <w:rPr>
          <w:rFonts w:ascii="Arial" w:hAnsi="Arial" w:eastAsia="Arial" w:cs="Arial"/>
          <w:b/>
          <w:bCs/>
          <w:i w:val="0"/>
          <w:iCs w:val="0"/>
          <w:color w:val="000000"/>
          <w:sz w:val="32"/>
          <w:szCs w:val="32"/>
        </w:rPr>
      </w:r>
    </w:p>
    <w:p>
      <w:pPr>
        <w:pStyle w:val="633"/>
        <w:keepNext w:val="false"/>
        <w:pBdr/>
        <w:shd w:val="clear" w:color="auto" w:fill="ffffff"/>
        <w:spacing w:after="0" w:before="0"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olor w:val="000000"/>
          <w:sz w:val="32"/>
          <w:szCs w:val="32"/>
        </w:rPr>
        <w:t xml:space="preserve"> </w:t>
      </w:r>
      <w:r>
        <w:rPr>
          <w:rFonts w:ascii="Arial" w:hAnsi="Arial" w:eastAsia="Arial" w:cs="Arial"/>
          <w:b/>
          <w:bCs/>
          <w:i w:val="0"/>
          <w:iCs w:val="0"/>
          <w:color w:val="000000"/>
          <w:sz w:val="32"/>
          <w:szCs w:val="32"/>
        </w:rPr>
      </w:r>
    </w:p>
    <w:p>
      <w:pPr>
        <w:pStyle w:val="633"/>
        <w:keepNext w:val="false"/>
        <w:pBdr/>
        <w:shd w:val="clear" w:color="auto" w:fill="ffffff"/>
        <w:spacing w:after="0" w:before="0"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olor w:val="000000"/>
          <w:sz w:val="32"/>
          <w:szCs w:val="32"/>
        </w:rPr>
        <w:t xml:space="preserve">р.п.Атяшево</w:t>
      </w:r>
      <w:r>
        <w:rPr>
          <w:rFonts w:ascii="Arial" w:hAnsi="Arial" w:eastAsia="Arial" w:cs="Arial"/>
          <w:b/>
          <w:bCs/>
          <w:i w:val="0"/>
          <w:iCs w:val="0"/>
          <w:color w:val="000000"/>
          <w:sz w:val="32"/>
          <w:szCs w:val="32"/>
        </w:rPr>
      </w:r>
    </w:p>
    <w:p>
      <w:pPr>
        <w:pBdr/>
        <w:spacing w:after="240" w:before="240"/>
        <w:ind/>
        <w:rPr/>
      </w:pPr>
      <w:r>
        <w:t xml:space="preserve"> </w:t>
      </w:r>
      <w:r/>
    </w:p>
    <w:p>
      <w:pPr>
        <w:pStyle w:val="631"/>
        <w:keepNext w:val="false"/>
        <w:pBdr/>
        <w:shd w:val="clear" w:color="auto" w:fill="ffffff"/>
        <w:spacing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aps/>
          <w:color w:val="000000"/>
          <w:sz w:val="32"/>
          <w:szCs w:val="32"/>
        </w:rPr>
        <w:t xml:space="preserve">О</w:t>
      </w:r>
      <w:r>
        <w:rPr>
          <w:rFonts w:ascii="Arial" w:hAnsi="Arial" w:eastAsia="Arial" w:cs="Arial"/>
          <w:iCs w:val="0"/>
          <w:caps/>
          <w:color w:val="000000"/>
          <w:sz w:val="32"/>
          <w:szCs w:val="32"/>
        </w:rPr>
        <w:t xml:space="preserve"> внесении изменений в решение Совета депутатов Атяшевского муниципального района от 13 июля 2006 года № 59 "ОБ УСТАНОВЛЕНИИ РАЗМЕРОВ И УСЛОВИЙ ОПЛАТЫ ТРУДА ГЛАВЫ АТЯШЕВСКОГО МУНИЦИПАЛЬНОГО РАЙОНА И МУНИЦИПАЛЬНЫХ СЛУЖАЩИХ АТЯШЕВСКОГО  МУНИЦИПАЛЬНОГО РАЙОНА"</w:t>
      </w:r>
      <w:r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r>
    </w:p>
    <w:p>
      <w:pPr>
        <w:pStyle w:val="633"/>
        <w:keepNext w:val="false"/>
        <w:pBdr/>
        <w:spacing w:after="319" w:before="319"/>
        <w:ind/>
        <w:rPr>
          <w:b/>
          <w:bCs/>
        </w:rPr>
      </w:pPr>
      <w:r>
        <w:rPr>
          <w:rFonts w:ascii="Times New Roman" w:hAnsi="Times New Roman" w:eastAsia="Times New Roman" w:cs="Times New Roman"/>
          <w:i w:val="0"/>
        </w:rPr>
        <w:t xml:space="preserve"> </w:t>
      </w:r>
      <w:r>
        <w:rPr>
          <w:b/>
          <w:bCs/>
        </w:rPr>
      </w:r>
    </w:p>
    <w:p>
      <w:pPr>
        <w:pStyle w:val="633"/>
        <w:keepNext w:val="false"/>
        <w:pBdr/>
        <w:spacing w:after="319" w:before="319"/>
        <w:ind/>
        <w:rPr>
          <w:b/>
          <w:bCs/>
        </w:rPr>
      </w:pPr>
      <w:r>
        <w:rPr>
          <w:rFonts w:ascii="Times New Roman" w:hAnsi="Times New Roman" w:eastAsia="Times New Roman" w:cs="Times New Roman"/>
          <w:i w:val="0"/>
        </w:rPr>
        <w:t xml:space="preserve"> </w:t>
      </w:r>
      <w:r>
        <w:rPr>
          <w:b/>
          <w:bCs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В соотвествии с  Федеральным законом от 6 октября 2003 года N 131-ФЗ "</w:t>
      </w:r>
      <w:hyperlink r:id="rId8" w:tooltip="http://rnla-service.scli.ru:8080/rnla-links/ws/content/act/96e20c02-1b12-465a-b64c-24aa92270007.html" w:history="1">
        <w:r>
          <w:rPr>
            <w:rFonts w:ascii="Arial" w:hAnsi="Arial" w:eastAsia="Arial" w:cs="Arial"/>
            <w:b w:val="0"/>
            <w:bCs w:val="0"/>
            <w:i w:val="0"/>
            <w:iCs w:val="0"/>
            <w:color w:val="0000ee"/>
            <w:u w:val="single"/>
          </w:rPr>
          <w:t xml:space="preserve">Об общих принципах организации местного самоуправления в Российской Федерации</w:t>
        </w:r>
      </w:hyperlink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", Совет депутатов Атяшевского муниципального района р е ш и л: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1. Утвердить изменения, которые вносятся в Решение Совета депутатов Атяшевского муниципального района от 13 июля 2006 года № 59 "</w:t>
      </w:r>
      <w:hyperlink r:id="rId9" w:tooltip="http://rnla-service.scli.ru:8080/rnla-links/ws/content/act/320f72f5-a9f0-42e6-838d-d969d6d1d1c2.html" w:history="1">
        <w:bookmarkStart w:id="0" w:name="320f72f5-a9f0-42e6-838d-d969d6d1d1c2"/>
        <w:r>
          <w:rPr>
            <w:rFonts w:ascii="Arial" w:hAnsi="Arial" w:eastAsia="Arial" w:cs="Arial"/>
            <w:b w:val="0"/>
            <w:bCs w:val="0"/>
            <w:i w:val="0"/>
            <w:iCs w:val="0"/>
            <w:color w:val="0000ee"/>
            <w:u w:val="single"/>
          </w:rPr>
          <w:t xml:space="preserve">Об установлении размеров и условий оплаты труда Главы Атяшевского муниципального района и муниципальных служащих Атяшевского муниципального района</w:t>
        </w:r>
      </w:hyperlink>
      <w:r/>
      <w:bookmarkEnd w:id="0"/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"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2. Настоящее решение вступает в силу после его официального опубликования и распространяет свое действие на правоотношения, возникшие с 1 ноября 2023 года.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632"/>
        <w:keepNext w:val="false"/>
        <w:pBdr/>
        <w:spacing w:after="281" w:before="281"/>
        <w:ind/>
        <w:rPr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i w:val="0"/>
        </w:rPr>
        <w:t xml:space="preserve"> </w:t>
      </w:r>
      <w:r>
        <w:rPr>
          <w:b/>
          <w:bCs/>
          <w:sz w:val="28"/>
          <w:szCs w:val="28"/>
        </w:rPr>
      </w:r>
    </w:p>
    <w:p>
      <w:pPr>
        <w:pStyle w:val="632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Председатель Совета депутатов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632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Атяшевского муниципального района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632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Республики Мордовия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632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А.Н. Чугунов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pacing w:after="240" w:before="240"/>
        <w:ind/>
        <w:rPr/>
      </w:pPr>
      <w:r>
        <w:t xml:space="preserve"> </w:t>
      </w:r>
      <w:r/>
    </w:p>
    <w:p>
      <w:pPr>
        <w:pStyle w:val="632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Глава 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632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Атяшевского муниципального района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632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Республики Мордовия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632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К.Н. Николаев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632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632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632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pacing w:after="240" w:before="240"/>
        <w:ind/>
        <w:rPr/>
      </w:pPr>
      <w:r>
        <w:t xml:space="preserve"> </w:t>
      </w:r>
      <w:r/>
    </w:p>
    <w:p>
      <w:pPr>
        <w:pStyle w:val="632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УТВЕРЖДЕНЫ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632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Решением Совета депутатов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632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Атяшевского муниципального района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632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Республики Мордовия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632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от 21.11.2023 г. № 45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632"/>
        <w:keepNext w:val="false"/>
        <w:pBdr/>
        <w:spacing w:after="281" w:before="281"/>
        <w:ind/>
        <w:rPr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i w:val="0"/>
        </w:rPr>
        <w:t xml:space="preserve"> </w:t>
      </w:r>
      <w:r>
        <w:rPr>
          <w:b/>
          <w:bCs/>
          <w:sz w:val="28"/>
          <w:szCs w:val="28"/>
        </w:rPr>
      </w:r>
    </w:p>
    <w:p>
      <w:pPr>
        <w:pStyle w:val="633"/>
        <w:keepNext w:val="false"/>
        <w:pBdr/>
        <w:spacing w:after="319" w:before="319"/>
        <w:ind/>
        <w:rPr>
          <w:b/>
          <w:bCs/>
        </w:rPr>
      </w:pPr>
      <w:r>
        <w:rPr>
          <w:rFonts w:ascii="Times New Roman" w:hAnsi="Times New Roman" w:eastAsia="Times New Roman" w:cs="Times New Roman"/>
          <w:i w:val="0"/>
        </w:rPr>
        <w:t xml:space="preserve"> </w:t>
      </w:r>
      <w:r>
        <w:rPr>
          <w:b/>
          <w:bCs/>
        </w:rPr>
      </w:r>
    </w:p>
    <w:p>
      <w:pPr>
        <w:pStyle w:val="630"/>
        <w:keepNext w:val="false"/>
        <w:pBdr/>
        <w:shd w:val="clear" w:color="auto" w:fill="ffffff"/>
        <w:spacing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aps/>
          <w:color w:val="000000"/>
          <w:sz w:val="32"/>
          <w:szCs w:val="32"/>
        </w:rPr>
        <w:t xml:space="preserve">изменени</w:t>
      </w:r>
      <w:r>
        <w:rPr>
          <w:rFonts w:ascii="Arial" w:hAnsi="Arial" w:eastAsia="Arial" w:cs="Arial"/>
          <w:iCs w:val="0"/>
          <w:caps/>
          <w:color w:val="000000"/>
          <w:sz w:val="32"/>
          <w:szCs w:val="32"/>
        </w:rPr>
        <w:t xml:space="preserve">я, которые вносятся в Решение Совета депутатов Атяшевского муниципального района от 13 июля 2006 года № 59 "Об установлении  размеров и условий оплаты труда Главы Атяшевского муниципального района и муниципальных служащих Атяшевского муниципального района"</w:t>
      </w:r>
      <w:r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r>
    </w:p>
    <w:p>
      <w:pPr>
        <w:pStyle w:val="634"/>
        <w:pBdr/>
        <w:spacing w:after="333" w:before="333"/>
        <w:ind/>
        <w:rPr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i w:val="0"/>
          <w:iCs w:val="0"/>
        </w:rPr>
        <w:t xml:space="preserve"> </w:t>
      </w:r>
      <w:r>
        <w:rPr>
          <w:b/>
          <w:bCs/>
          <w:sz w:val="20"/>
          <w:szCs w:val="2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1) Приложение 1 к Положению об оплате  труда Главы Атяшевского муниципального района и муниципальных служащих Атяшевского муниципального района изложить в следующей редакции: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632"/>
        <w:keepNext w:val="false"/>
        <w:pBdr/>
        <w:spacing w:after="281" w:before="281"/>
        <w:ind/>
        <w:rPr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i w:val="0"/>
        </w:rPr>
        <w:t xml:space="preserve"> </w:t>
      </w:r>
      <w:r>
        <w:rPr>
          <w:b/>
          <w:bCs/>
          <w:sz w:val="28"/>
          <w:szCs w:val="28"/>
        </w:rPr>
      </w:r>
    </w:p>
    <w:p>
      <w:pPr>
        <w:pStyle w:val="632"/>
        <w:keepNext w:val="false"/>
        <w:pBdr/>
        <w:shd w:val="clear" w:color="auto" w:fill="ffffff"/>
        <w:spacing w:after="0" w:before="0" w:line="240" w:lineRule="atLeast"/>
        <w:ind w:firstLine="709"/>
        <w:jc w:val="right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Приложение 1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br/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                           к Решению Совета депутатов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br/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                                          Атяшевского муниципального района</w:t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br/>
      </w:r>
      <w:r>
        <w:rPr>
          <w:rFonts w:ascii="Arial" w:hAnsi="Arial" w:eastAsia="Arial" w:cs="Arial"/>
          <w:b w:val="0"/>
          <w:bCs w:val="0"/>
          <w:iCs w:val="0"/>
          <w:color w:val="000000"/>
          <w:sz w:val="24"/>
          <w:szCs w:val="24"/>
        </w:rPr>
        <w:t xml:space="preserve">                  от 13 июля 2006 г. № 59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pacing w:after="240" w:before="240"/>
        <w:ind/>
        <w:rPr/>
      </w:pPr>
      <w:r>
        <w:t xml:space="preserve"> </w:t>
      </w:r>
      <w:r/>
    </w:p>
    <w:p>
      <w:pPr>
        <w:pStyle w:val="630"/>
        <w:keepNext w:val="false"/>
        <w:pBdr/>
        <w:shd w:val="clear" w:color="auto" w:fill="ffffff"/>
        <w:spacing w:line="320" w:lineRule="atLeast"/>
        <w:ind w:firstLine="709"/>
        <w:jc w:val="center"/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pPr>
      <w:r>
        <w:rPr>
          <w:rFonts w:ascii="Arial" w:hAnsi="Arial" w:eastAsia="Arial" w:cs="Arial"/>
          <w:iCs w:val="0"/>
          <w:caps/>
          <w:color w:val="000000"/>
          <w:sz w:val="32"/>
          <w:szCs w:val="32"/>
        </w:rPr>
        <w:t xml:space="preserve">Размер должностных окладов Главы Атяшевского муниципального района и муниципальных служащих Атяшевского муниципального  района Республики Мордовия</w:t>
      </w:r>
      <w:r>
        <w:rPr>
          <w:rFonts w:ascii="Arial" w:hAnsi="Arial" w:eastAsia="Arial" w:cs="Arial"/>
          <w:b/>
          <w:bCs/>
          <w:i w:val="0"/>
          <w:iCs w:val="0"/>
          <w:caps/>
          <w:color w:val="000000"/>
          <w:sz w:val="32"/>
          <w:szCs w:val="32"/>
        </w:rPr>
      </w:r>
    </w:p>
    <w:p>
      <w:pPr>
        <w:pBdr/>
        <w:spacing w:after="240" w:before="240"/>
        <w:ind/>
        <w:rPr/>
      </w:pPr>
      <w:r>
        <w:t xml:space="preserve"> </w:t>
      </w:r>
      <w:r/>
    </w:p>
    <w:p>
      <w:pPr>
        <w:pStyle w:val="633"/>
        <w:keepNext w:val="false"/>
        <w:pBdr/>
        <w:spacing w:after="319" w:before="319"/>
        <w:ind/>
        <w:rPr>
          <w:b/>
          <w:bCs/>
        </w:rPr>
      </w:pPr>
      <w:r>
        <w:rPr>
          <w:rFonts w:ascii="Times New Roman" w:hAnsi="Times New Roman" w:eastAsia="Times New Roman" w:cs="Times New Roman"/>
          <w:i w:val="0"/>
        </w:rPr>
        <w:t xml:space="preserve"> </w:t>
      </w:r>
      <w:r>
        <w:rPr>
          <w:b/>
          <w:bCs/>
        </w:rPr>
      </w:r>
    </w:p>
    <w:tbl>
      <w:tblPr>
        <w:tblCellSpacing w:w="15" w:type="dxa"/>
        <w:tblInd w:w="30" w:type="dxa"/>
        <w:tblBorders>
          <w:top w:val="single" w:color="808080" w:sz="6" w:space="0"/>
          <w:left w:val="single" w:color="808080" w:sz="6" w:space="0"/>
          <w:bottom w:val="single" w:color="808080" w:sz="6" w:space="0"/>
          <w:right w:val="single" w:color="808080" w:sz="6" w:space="0"/>
        </w:tblBorders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6328"/>
        <w:gridCol w:w="3256"/>
      </w:tblGrid>
      <w:tr>
        <w:trPr>
          <w:tblCellSpacing w:w="15" w:type="dxa"/>
        </w:trPr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22" w:type="dxa"/>
              <w:top w:w="22" w:type="dxa"/>
              <w:right w:w="22" w:type="dxa"/>
              <w:bottom w:w="22" w:type="dxa"/>
            </w:tcMar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Наименование должностей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22" w:type="dxa"/>
              <w:top w:w="22" w:type="dxa"/>
              <w:right w:w="22" w:type="dxa"/>
              <w:bottom w:w="22" w:type="dxa"/>
            </w:tcMar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Размер должностного оклада (рублей в месяц)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  <w:tr>
        <w:trPr>
          <w:tblCellSpacing w:w="15" w:type="dxa"/>
        </w:trPr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22" w:type="dxa"/>
              <w:top w:w="22" w:type="dxa"/>
              <w:right w:w="22" w:type="dxa"/>
              <w:bottom w:w="22" w:type="dxa"/>
            </w:tcMar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Глава Атяшевского муниципального района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22" w:type="dxa"/>
              <w:top w:w="22" w:type="dxa"/>
              <w:right w:w="22" w:type="dxa"/>
              <w:bottom w:w="22" w:type="dxa"/>
            </w:tcMar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12715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  <w:tr>
        <w:trPr>
          <w:tblCellSpacing w:w="15" w:type="dxa"/>
        </w:trPr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22" w:type="dxa"/>
              <w:top w:w="22" w:type="dxa"/>
              <w:right w:w="22" w:type="dxa"/>
              <w:bottom w:w="22" w:type="dxa"/>
            </w:tcMar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Первый заместитель Главы района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22" w:type="dxa"/>
              <w:top w:w="22" w:type="dxa"/>
              <w:right w:w="22" w:type="dxa"/>
              <w:bottom w:w="22" w:type="dxa"/>
            </w:tcMar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10658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  <w:tr>
        <w:trPr>
          <w:tblCellSpacing w:w="15" w:type="dxa"/>
        </w:trPr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22" w:type="dxa"/>
              <w:top w:w="22" w:type="dxa"/>
              <w:right w:w="22" w:type="dxa"/>
              <w:bottom w:w="22" w:type="dxa"/>
            </w:tcMar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Заместитель Главы района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22" w:type="dxa"/>
              <w:top w:w="22" w:type="dxa"/>
              <w:right w:w="22" w:type="dxa"/>
              <w:bottom w:w="22" w:type="dxa"/>
            </w:tcMar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9706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  <w:tr>
        <w:trPr>
          <w:tblCellSpacing w:w="15" w:type="dxa"/>
        </w:trPr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22" w:type="dxa"/>
              <w:top w:w="22" w:type="dxa"/>
              <w:right w:w="22" w:type="dxa"/>
              <w:bottom w:w="22" w:type="dxa"/>
            </w:tcMar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Начальник управления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22" w:type="dxa"/>
              <w:top w:w="22" w:type="dxa"/>
              <w:right w:w="22" w:type="dxa"/>
              <w:bottom w:w="22" w:type="dxa"/>
            </w:tcMar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7320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  <w:tr>
        <w:trPr>
          <w:tblCellSpacing w:w="15" w:type="dxa"/>
        </w:trPr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22" w:type="dxa"/>
              <w:top w:w="22" w:type="dxa"/>
              <w:right w:w="22" w:type="dxa"/>
              <w:bottom w:w="22" w:type="dxa"/>
            </w:tcMar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Начальник отдела, не входящего в состав иного структурного подразделения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22" w:type="dxa"/>
              <w:top w:w="22" w:type="dxa"/>
              <w:right w:w="22" w:type="dxa"/>
              <w:bottom w:w="22" w:type="dxa"/>
            </w:tcMar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6914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  <w:tr>
        <w:trPr>
          <w:tblCellSpacing w:w="15" w:type="dxa"/>
        </w:trPr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22" w:type="dxa"/>
              <w:top w:w="22" w:type="dxa"/>
              <w:right w:w="22" w:type="dxa"/>
              <w:bottom w:w="22" w:type="dxa"/>
            </w:tcMar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Заместитель начальника управления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22" w:type="dxa"/>
              <w:top w:w="22" w:type="dxa"/>
              <w:right w:w="22" w:type="dxa"/>
              <w:bottom w:w="22" w:type="dxa"/>
            </w:tcMar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6914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  <w:tr>
        <w:trPr>
          <w:tblCellSpacing w:w="15" w:type="dxa"/>
        </w:trPr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22" w:type="dxa"/>
              <w:top w:w="22" w:type="dxa"/>
              <w:right w:w="22" w:type="dxa"/>
              <w:bottom w:w="22" w:type="dxa"/>
            </w:tcMar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Заместитель начальника отдела, не входящего в состав иного структурного подразделения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22" w:type="dxa"/>
              <w:top w:w="22" w:type="dxa"/>
              <w:right w:w="22" w:type="dxa"/>
              <w:bottom w:w="22" w:type="dxa"/>
            </w:tcMar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6401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  <w:tr>
        <w:trPr>
          <w:tblCellSpacing w:w="15" w:type="dxa"/>
        </w:trPr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22" w:type="dxa"/>
              <w:top w:w="22" w:type="dxa"/>
              <w:right w:w="22" w:type="dxa"/>
              <w:bottom w:w="22" w:type="dxa"/>
            </w:tcMar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Заведующий отделом, входящим в состав иного структурного подразделения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22" w:type="dxa"/>
              <w:top w:w="22" w:type="dxa"/>
              <w:right w:w="22" w:type="dxa"/>
              <w:bottom w:w="22" w:type="dxa"/>
            </w:tcMar>
            <w:vAlign w:val="center"/>
            <w:textDirection w:val="lrTb"/>
            <w:noWrap w:val="false"/>
          </w:tcPr>
          <w:p>
            <w:pPr>
              <w:pBdr/>
              <w:spacing w:after="24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6401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  <w:p>
            <w:pPr>
              <w:pBdr/>
              <w:spacing w:before="240"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 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  <w:tr>
        <w:trPr>
          <w:tblCellSpacing w:w="15" w:type="dxa"/>
        </w:trPr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22" w:type="dxa"/>
              <w:top w:w="22" w:type="dxa"/>
              <w:right w:w="22" w:type="dxa"/>
              <w:bottom w:w="22" w:type="dxa"/>
            </w:tcMar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Главный бухгалтер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22" w:type="dxa"/>
              <w:top w:w="22" w:type="dxa"/>
              <w:right w:w="22" w:type="dxa"/>
              <w:bottom w:w="22" w:type="dxa"/>
            </w:tcMar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6401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  <w:tr>
        <w:trPr>
          <w:tblCellSpacing w:w="15" w:type="dxa"/>
        </w:trPr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22" w:type="dxa"/>
              <w:top w:w="22" w:type="dxa"/>
              <w:right w:w="22" w:type="dxa"/>
              <w:bottom w:w="22" w:type="dxa"/>
            </w:tcMar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Заместитель начальника отдела, входящего в состав иного структурного подразделения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22" w:type="dxa"/>
              <w:top w:w="22" w:type="dxa"/>
              <w:right w:w="22" w:type="dxa"/>
              <w:bottom w:w="22" w:type="dxa"/>
            </w:tcMar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5660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  <w:tr>
        <w:trPr>
          <w:tblCellSpacing w:w="15" w:type="dxa"/>
        </w:trPr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22" w:type="dxa"/>
              <w:top w:w="22" w:type="dxa"/>
              <w:right w:w="22" w:type="dxa"/>
              <w:bottom w:w="22" w:type="dxa"/>
            </w:tcMar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Консультант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22" w:type="dxa"/>
              <w:top w:w="22" w:type="dxa"/>
              <w:right w:w="22" w:type="dxa"/>
              <w:bottom w:w="22" w:type="dxa"/>
            </w:tcMar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5660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  <w:tr>
        <w:trPr>
          <w:tblCellSpacing w:w="15" w:type="dxa"/>
        </w:trPr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22" w:type="dxa"/>
              <w:top w:w="22" w:type="dxa"/>
              <w:right w:w="22" w:type="dxa"/>
              <w:bottom w:w="22" w:type="dxa"/>
            </w:tcMar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Главный специалист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22" w:type="dxa"/>
              <w:top w:w="22" w:type="dxa"/>
              <w:right w:w="22" w:type="dxa"/>
              <w:bottom w:w="22" w:type="dxa"/>
            </w:tcMar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4768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  <w:tr>
        <w:trPr>
          <w:tblCellSpacing w:w="15" w:type="dxa"/>
        </w:trPr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22" w:type="dxa"/>
              <w:top w:w="22" w:type="dxa"/>
              <w:right w:w="22" w:type="dxa"/>
              <w:bottom w:w="22" w:type="dxa"/>
            </w:tcMar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Ведущий специалист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22" w:type="dxa"/>
              <w:top w:w="22" w:type="dxa"/>
              <w:right w:w="22" w:type="dxa"/>
              <w:bottom w:w="22" w:type="dxa"/>
            </w:tcMar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4483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  <w:tr>
        <w:trPr>
          <w:tblCellSpacing w:w="15" w:type="dxa"/>
        </w:trPr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22" w:type="dxa"/>
              <w:top w:w="22" w:type="dxa"/>
              <w:right w:w="22" w:type="dxa"/>
              <w:bottom w:w="22" w:type="dxa"/>
            </w:tcMar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Специалист I категории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22" w:type="dxa"/>
              <w:top w:w="22" w:type="dxa"/>
              <w:right w:w="22" w:type="dxa"/>
              <w:bottom w:w="22" w:type="dxa"/>
            </w:tcMar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4054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  <w:tr>
        <w:trPr>
          <w:tblCellSpacing w:w="15" w:type="dxa"/>
        </w:trPr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22" w:type="dxa"/>
              <w:top w:w="22" w:type="dxa"/>
              <w:right w:w="22" w:type="dxa"/>
              <w:bottom w:w="22" w:type="dxa"/>
            </w:tcMar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Специалист II категории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22" w:type="dxa"/>
              <w:top w:w="22" w:type="dxa"/>
              <w:right w:w="22" w:type="dxa"/>
              <w:bottom w:w="22" w:type="dxa"/>
            </w:tcMar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3432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  <w:tr>
        <w:trPr>
          <w:tblCellSpacing w:w="15" w:type="dxa"/>
        </w:trPr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22" w:type="dxa"/>
              <w:top w:w="22" w:type="dxa"/>
              <w:right w:w="22" w:type="dxa"/>
              <w:bottom w:w="22" w:type="dxa"/>
            </w:tcMar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Специалист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22" w:type="dxa"/>
              <w:top w:w="22" w:type="dxa"/>
              <w:right w:w="22" w:type="dxa"/>
              <w:bottom w:w="22" w:type="dxa"/>
            </w:tcMar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3372</w:t>
            </w:r>
            <w: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</w:tr>
    </w:tbl>
    <w:p>
      <w:pPr>
        <w:pBdr/>
        <w:spacing w:after="240" w:before="240"/>
        <w:ind/>
        <w:rPr/>
      </w:pPr>
      <w:r>
        <w:t xml:space="preserve">  </w:t>
      </w:r>
      <w:r/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2) пункт 18 Положения об оплате труда Главы Атяшевского муниципального района и муниципальных служащих Атяшевского муниципального района изложить в следующей редакции: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"18. Муниципальным служащим, Главе Атяшевского муниципального района могут выплачиваться премии за выполнение особо важных и сложных заданий.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Премии за выполнение особо важных и сложных заданий выплачиваются: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Главе Атяшевского муниципального района – на основании распоряжения Главы Атяшевского муниципального района;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муниципальным служащим  - на основании распоряжения Администрации Атяшевского муниципального района.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При принятии решения о премировании Главы Атяшевского муниципального района, муниципальных служащих за выполнение особо важных и сложных заданий учитываются: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1) личный вклад Главы Атяшевского муниципального района, муниципального служащего в обеспечение выполнения задач и реализации функций;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2) степень сложности выполнения Главой Атяшевского муниципального района, муниципальным служащим заданий, эффективности достигнутых результатов за определенный период работы;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3) оперативность и профессионализм Главы Атяшевского муниципального района, муниципального служащего в решении вопросов, входящих в его компетенцию, в подготовке документов, выполнении поручений;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4) своевременное, добросовестное и качественное выполнение обязанностей, предусмотренных должностной инструкцией, и соблюдение правил внутреннего трудового распорядка.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Bdr/>
        <w:shd w:val="clear" w:color="auto" w:fill="ffffff"/>
        <w:spacing w:after="0" w:before="0" w:line="360" w:lineRule="atLeast"/>
        <w:ind w:firstLine="709"/>
        <w:jc w:val="both"/>
        <w:rPr>
          <w:rFonts w:ascii="Arial" w:hAnsi="Arial" w:eastAsia="Arial" w:cs="Arial"/>
          <w:b w:val="0"/>
          <w:bCs w:val="0"/>
          <w:i w:val="0"/>
          <w:iCs w:val="0"/>
          <w:color w:val="000000"/>
        </w:rPr>
      </w:pP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  <w:t xml:space="preserve"> Размеры премий за выполнение особо важных и сложных заданий и их совокупная сумма в год максимальным размером не ограничиваются."</w:t>
      </w:r>
      <w:r>
        <w:rPr>
          <w:rFonts w:ascii="Arial" w:hAnsi="Arial" w:eastAsia="Arial" w:cs="Arial"/>
          <w:b w:val="0"/>
          <w:bCs w:val="0"/>
          <w:i w:val="0"/>
          <w:iCs w:val="0"/>
          <w:color w:val="000000"/>
        </w:rPr>
      </w:r>
    </w:p>
    <w:p>
      <w:pPr>
        <w:pStyle w:val="632"/>
        <w:keepNext w:val="false"/>
        <w:pBdr/>
        <w:spacing w:after="281" w:before="281"/>
        <w:ind/>
        <w:rPr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i w:val="0"/>
        </w:rPr>
        <w:t xml:space="preserve"> </w:t>
      </w:r>
      <w:r>
        <w:rPr>
          <w:b/>
          <w:bCs/>
          <w:sz w:val="28"/>
          <w:szCs w:val="28"/>
        </w:rPr>
      </w:r>
    </w:p>
    <w:p>
      <w:pPr>
        <w:pStyle w:val="632"/>
        <w:keepNext w:val="false"/>
        <w:pBdr/>
        <w:spacing w:after="281" w:before="281"/>
        <w:ind/>
        <w:rPr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i w:val="0"/>
        </w:rPr>
        <w:t xml:space="preserve"> </w:t>
      </w:r>
      <w:r>
        <w:rPr>
          <w:b/>
          <w:bCs/>
          <w:sz w:val="28"/>
          <w:szCs w:val="28"/>
        </w:rPr>
      </w:r>
    </w:p>
    <w:p>
      <w:pPr>
        <w:pBdr/>
        <w:spacing w:after="240" w:before="240"/>
        <w:ind/>
        <w:rPr/>
      </w:pPr>
      <w:r>
        <w:t xml:space="preserve"> </w:t>
      </w:r>
      <w:r/>
    </w:p>
    <w:p>
      <w:pPr>
        <w:pBdr/>
        <w:spacing w:after="240" w:before="240"/>
        <w:ind/>
        <w:rPr/>
      </w:pPr>
      <w:r>
        <w:t xml:space="preserve"> </w:t>
      </w:r>
      <w:r/>
    </w:p>
    <w:p>
      <w:pPr>
        <w:pBdr/>
        <w:spacing w:after="240" w:before="240"/>
        <w:ind/>
        <w:rPr/>
      </w:pPr>
      <w:r>
        <w:t xml:space="preserve"> </w:t>
      </w:r>
      <w:r/>
    </w:p>
    <w:p>
      <w:pPr>
        <w:pBdr/>
        <w:spacing w:after="240" w:before="240"/>
        <w:ind/>
        <w:rPr/>
      </w:pPr>
      <w:r>
        <w:t xml:space="preserve"> </w:t>
      </w:r>
      <w:r/>
    </w:p>
    <w:p>
      <w:pPr>
        <w:pBdr/>
        <w:spacing w:after="240" w:before="240"/>
        <w:ind/>
        <w:rPr/>
      </w:pPr>
      <w:r>
        <w:t xml:space="preserve"> </w:t>
      </w:r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en-US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37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3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3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3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4">
    <w:name w:val="Heading 7"/>
    <w:basedOn w:val="629"/>
    <w:next w:val="62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29"/>
    <w:next w:val="629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29"/>
    <w:next w:val="629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148" w:default="1">
    <w:name w:val="No List"/>
    <w:uiPriority w:val="99"/>
    <w:semiHidden/>
    <w:unhideWhenUsed/>
    <w:pPr>
      <w:pBdr/>
      <w:spacing/>
      <w:ind/>
    </w:pPr>
  </w:style>
  <w:style w:type="character" w:styleId="149">
    <w:name w:val="Heading 1 Char"/>
    <w:basedOn w:val="636"/>
    <w:link w:val="6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36"/>
    <w:link w:val="6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36"/>
    <w:link w:val="6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36"/>
    <w:link w:val="63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36"/>
    <w:link w:val="63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36"/>
    <w:link w:val="63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36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36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36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29"/>
    <w:next w:val="629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636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29"/>
    <w:next w:val="629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636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29"/>
    <w:next w:val="629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36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629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63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29"/>
    <w:next w:val="629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36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3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29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63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36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36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3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3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29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636"/>
    <w:link w:val="175"/>
    <w:uiPriority w:val="99"/>
    <w:pPr>
      <w:pBdr/>
      <w:spacing/>
      <w:ind/>
    </w:pPr>
  </w:style>
  <w:style w:type="paragraph" w:styleId="177">
    <w:name w:val="Footer"/>
    <w:basedOn w:val="629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636"/>
    <w:link w:val="177"/>
    <w:uiPriority w:val="99"/>
    <w:pPr>
      <w:pBdr/>
      <w:spacing/>
      <w:ind/>
    </w:pPr>
  </w:style>
  <w:style w:type="paragraph" w:styleId="179">
    <w:name w:val="Caption"/>
    <w:basedOn w:val="629"/>
    <w:next w:val="62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29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36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36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29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36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36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63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63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29"/>
    <w:next w:val="629"/>
    <w:uiPriority w:val="99"/>
    <w:unhideWhenUsed/>
    <w:pPr>
      <w:pBdr/>
      <w:spacing w:after="0" w:afterAutospacing="0"/>
      <w:ind/>
    </w:pPr>
  </w:style>
  <w:style w:type="paragraph" w:styleId="629" w:default="1">
    <w:name w:val="Normal"/>
    <w:qFormat/>
    <w:pPr>
      <w:pBdr/>
      <w:spacing/>
      <w:ind/>
    </w:pPr>
    <w:rPr>
      <w:sz w:val="24"/>
      <w:szCs w:val="24"/>
    </w:rPr>
  </w:style>
  <w:style w:type="paragraph" w:styleId="630">
    <w:name w:val="Heading 1"/>
    <w:basedOn w:val="629"/>
    <w:next w:val="629"/>
    <w:qFormat/>
    <w:pPr>
      <w:keepNext w:val="true"/>
      <w:pBdr/>
      <w:spacing w:after="60" w:before="240"/>
      <w:ind/>
      <w:outlineLvl w:val="0"/>
    </w:pPr>
    <w:rPr>
      <w:rFonts w:ascii="Times New Roman" w:hAnsi="Times New Roman" w:eastAsia="Times New Roman" w:cs="Times New Roman"/>
      <w:b/>
      <w:bCs/>
      <w:i w:val="0"/>
      <w:sz w:val="48"/>
      <w:szCs w:val="48"/>
    </w:rPr>
  </w:style>
  <w:style w:type="paragraph" w:styleId="631">
    <w:name w:val="Heading 2"/>
    <w:basedOn w:val="629"/>
    <w:next w:val="629"/>
    <w:qFormat/>
    <w:pPr>
      <w:keepNext w:val="true"/>
      <w:pBdr/>
      <w:spacing w:after="60" w:before="240"/>
      <w:ind/>
      <w:outlineLvl w:val="1"/>
    </w:pPr>
    <w:rPr>
      <w:rFonts w:ascii="Times New Roman" w:hAnsi="Times New Roman" w:eastAsia="Times New Roman" w:cs="Times New Roman"/>
      <w:b/>
      <w:bCs/>
      <w:i w:val="0"/>
      <w:iCs/>
      <w:sz w:val="36"/>
      <w:szCs w:val="36"/>
    </w:rPr>
  </w:style>
  <w:style w:type="paragraph" w:styleId="632">
    <w:name w:val="Heading 3"/>
    <w:basedOn w:val="629"/>
    <w:next w:val="629"/>
    <w:qFormat/>
    <w:pPr>
      <w:keepNext w:val="true"/>
      <w:pBdr/>
      <w:spacing w:after="60" w:before="240"/>
      <w:ind/>
      <w:outlineLvl w:val="2"/>
    </w:pPr>
    <w:rPr>
      <w:rFonts w:ascii="Times New Roman" w:hAnsi="Times New Roman" w:eastAsia="Times New Roman" w:cs="Times New Roman"/>
      <w:b/>
      <w:bCs/>
      <w:i w:val="0"/>
      <w:sz w:val="28"/>
      <w:szCs w:val="28"/>
    </w:rPr>
  </w:style>
  <w:style w:type="paragraph" w:styleId="633">
    <w:name w:val="Heading 4"/>
    <w:basedOn w:val="629"/>
    <w:next w:val="629"/>
    <w:qFormat/>
    <w:pPr>
      <w:keepNext w:val="true"/>
      <w:pBdr/>
      <w:spacing w:after="60" w:before="240"/>
      <w:ind/>
      <w:outlineLvl w:val="3"/>
    </w:pPr>
    <w:rPr>
      <w:rFonts w:ascii="Times New Roman" w:hAnsi="Times New Roman" w:eastAsia="Times New Roman" w:cs="Times New Roman"/>
      <w:b/>
      <w:bCs/>
      <w:i w:val="0"/>
      <w:sz w:val="24"/>
      <w:szCs w:val="24"/>
    </w:rPr>
  </w:style>
  <w:style w:type="paragraph" w:styleId="634">
    <w:name w:val="Heading 5"/>
    <w:basedOn w:val="629"/>
    <w:next w:val="629"/>
    <w:qFormat/>
    <w:pPr>
      <w:pBdr/>
      <w:spacing w:after="60" w:before="240"/>
      <w:ind/>
      <w:outlineLvl w:val="4"/>
    </w:pPr>
    <w:rPr>
      <w:rFonts w:ascii="Times New Roman" w:hAnsi="Times New Roman" w:eastAsia="Times New Roman" w:cs="Times New Roman"/>
      <w:b/>
      <w:bCs/>
      <w:i w:val="0"/>
      <w:iCs/>
      <w:sz w:val="20"/>
      <w:szCs w:val="20"/>
    </w:rPr>
  </w:style>
  <w:style w:type="paragraph" w:styleId="635">
    <w:name w:val="Heading 6"/>
    <w:basedOn w:val="629"/>
    <w:next w:val="629"/>
    <w:qFormat/>
    <w:pPr>
      <w:pBdr/>
      <w:spacing w:after="60" w:before="240"/>
      <w:ind/>
      <w:outlineLvl w:val="5"/>
    </w:pPr>
    <w:rPr>
      <w:rFonts w:ascii="Times New Roman" w:hAnsi="Times New Roman" w:eastAsia="Times New Roman" w:cs="Times New Roman"/>
      <w:b/>
      <w:bCs/>
      <w:i w:val="0"/>
      <w:sz w:val="16"/>
      <w:szCs w:val="16"/>
    </w:rPr>
  </w:style>
  <w:style w:type="character" w:styleId="636" w:default="1">
    <w:name w:val="Default Paragraph Font"/>
    <w:semiHidden/>
    <w:pPr>
      <w:pBdr/>
      <w:spacing/>
      <w:ind/>
    </w:pPr>
  </w:style>
  <w:style w:type="table" w:styleId="637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38" w:customStyle="1">
    <w:name w:val="Глава НПА"/>
    <w:link w:val="639"/>
    <w:qFormat/>
    <w:pPr>
      <w:pBdr/>
      <w:spacing w:after="120" w:before="240" w:line="320" w:lineRule="atLeast"/>
      <w:ind/>
      <w:jc w:val="center"/>
    </w:pPr>
    <w:rPr>
      <w:rFonts w:ascii="Arial" w:hAnsi="Arial" w:cs="Arial" w:eastAsiaTheme="minorHAnsi"/>
      <w:b/>
      <w:bCs/>
      <w:sz w:val="28"/>
      <w:szCs w:val="24"/>
      <w:lang w:val="ru-RU"/>
    </w:rPr>
  </w:style>
  <w:style w:type="character" w:styleId="639" w:customStyle="1">
    <w:name w:val="Глава НПА Знак"/>
    <w:link w:val="638"/>
    <w:pPr>
      <w:pBdr/>
      <w:spacing/>
      <w:ind/>
    </w:pPr>
    <w:rPr>
      <w:rFonts w:ascii="Arial" w:hAnsi="Arial" w:cs="Arial" w:eastAsiaTheme="minorHAnsi"/>
      <w:b/>
      <w:bCs/>
      <w:sz w:val="28"/>
      <w:szCs w:val="24"/>
      <w:lang w:val="ru-RU"/>
    </w:rPr>
  </w:style>
  <w:style w:type="paragraph" w:styleId="640" w:customStyle="1">
    <w:name w:val="Наименование НПА"/>
    <w:link w:val="641"/>
    <w:qFormat/>
    <w:pPr>
      <w:pBdr/>
      <w:spacing w:after="120" w:before="240" w:line="320" w:lineRule="atLeast"/>
      <w:ind/>
      <w:jc w:val="center"/>
    </w:pPr>
    <w:rPr>
      <w:rFonts w:ascii="Arial" w:hAnsi="Arial" w:cs="Arial" w:eastAsiaTheme="minorHAnsi"/>
      <w:b/>
      <w:bCs/>
      <w:sz w:val="32"/>
      <w:szCs w:val="24"/>
      <w:lang w:val="ru-RU"/>
    </w:rPr>
  </w:style>
  <w:style w:type="character" w:styleId="641" w:customStyle="1">
    <w:name w:val="Наименование НПА Знак"/>
    <w:link w:val="640"/>
    <w:pPr>
      <w:pBdr/>
      <w:spacing/>
      <w:ind/>
    </w:pPr>
    <w:rPr>
      <w:rFonts w:ascii="Arial" w:hAnsi="Arial" w:cs="Arial" w:eastAsiaTheme="minorHAnsi"/>
      <w:b/>
      <w:bCs/>
      <w:sz w:val="32"/>
      <w:szCs w:val="24"/>
      <w:lang w:val="ru-RU"/>
    </w:rPr>
  </w:style>
  <w:style w:type="paragraph" w:styleId="642" w:customStyle="1">
    <w:name w:val="Орган принятия НПА"/>
    <w:link w:val="643"/>
    <w:qFormat/>
    <w:pPr>
      <w:pBdr/>
      <w:spacing w:after="120" w:before="240" w:line="320" w:lineRule="atLeast"/>
      <w:ind/>
      <w:jc w:val="center"/>
    </w:pPr>
    <w:rPr>
      <w:rFonts w:ascii="Arial" w:hAnsi="Arial" w:cs="Arial" w:eastAsiaTheme="minorHAnsi"/>
      <w:b/>
      <w:bCs/>
      <w:sz w:val="32"/>
      <w:szCs w:val="24"/>
      <w:lang w:val="ru-RU"/>
    </w:rPr>
  </w:style>
  <w:style w:type="character" w:styleId="643" w:customStyle="1">
    <w:name w:val="Орган принятия НПА Знак"/>
    <w:basedOn w:val="636"/>
    <w:link w:val="642"/>
    <w:pPr>
      <w:pBdr/>
      <w:spacing/>
      <w:ind/>
    </w:pPr>
    <w:rPr>
      <w:rFonts w:ascii="Arial" w:hAnsi="Arial" w:cs="Arial" w:eastAsiaTheme="minorHAnsi"/>
      <w:b/>
      <w:bCs/>
      <w:sz w:val="32"/>
      <w:szCs w:val="24"/>
      <w:lang w:val="ru-RU"/>
    </w:rPr>
  </w:style>
  <w:style w:type="paragraph" w:styleId="644" w:customStyle="1">
    <w:name w:val="Подпись НПА"/>
    <w:link w:val="645"/>
    <w:qFormat/>
    <w:pPr>
      <w:pBdr/>
      <w:shd w:val="clear" w:color="auto" w:fill="ffffff"/>
      <w:spacing w:line="360" w:lineRule="atLeast"/>
      <w:ind/>
      <w:jc w:val="right"/>
    </w:pPr>
    <w:rPr>
      <w:rFonts w:ascii="Arial" w:hAnsi="Arial" w:cs="Arial"/>
      <w:sz w:val="24"/>
      <w:szCs w:val="24"/>
      <w:lang w:val="ru-RU" w:eastAsia="ru-RU"/>
    </w:rPr>
  </w:style>
  <w:style w:type="character" w:styleId="645" w:customStyle="1">
    <w:name w:val="Подпись НПА Знак"/>
    <w:basedOn w:val="636"/>
    <w:link w:val="644"/>
    <w:pPr>
      <w:pBdr/>
      <w:spacing/>
      <w:ind/>
    </w:pPr>
    <w:rPr>
      <w:rFonts w:ascii="Arial" w:hAnsi="Arial" w:cs="Arial"/>
      <w:sz w:val="24"/>
      <w:szCs w:val="24"/>
      <w:shd w:val="clear" w:color="auto" w:fill="ffffff"/>
      <w:lang w:val="ru-RU" w:eastAsia="ru-RU"/>
    </w:rPr>
  </w:style>
  <w:style w:type="paragraph" w:styleId="646" w:customStyle="1">
    <w:name w:val="Приложение НПА"/>
    <w:link w:val="647"/>
    <w:qFormat/>
    <w:pPr>
      <w:pBdr/>
      <w:spacing w:line="320" w:lineRule="atLeast"/>
      <w:ind/>
      <w:jc w:val="right"/>
    </w:pPr>
    <w:rPr>
      <w:rFonts w:ascii="Arial" w:hAnsi="Arial" w:cs="Arial" w:eastAsiaTheme="minorHAnsi"/>
      <w:bCs/>
      <w:sz w:val="24"/>
      <w:szCs w:val="24"/>
      <w:lang w:val="ru-RU"/>
    </w:rPr>
  </w:style>
  <w:style w:type="character" w:styleId="647" w:customStyle="1">
    <w:name w:val="Приложение НПА Знак"/>
    <w:link w:val="646"/>
    <w:pPr>
      <w:pBdr/>
      <w:spacing/>
      <w:ind/>
    </w:pPr>
    <w:rPr>
      <w:rFonts w:ascii="Arial" w:hAnsi="Arial" w:cs="Arial" w:eastAsiaTheme="minorHAnsi"/>
      <w:bCs/>
      <w:sz w:val="24"/>
      <w:szCs w:val="24"/>
      <w:lang w:val="ru-RU"/>
    </w:rPr>
  </w:style>
  <w:style w:type="paragraph" w:styleId="648" w:customStyle="1">
    <w:name w:val="Раздел НПА"/>
    <w:link w:val="649"/>
    <w:qFormat/>
    <w:pPr>
      <w:pBdr/>
      <w:spacing w:after="120" w:before="240" w:line="320" w:lineRule="atLeast"/>
      <w:ind/>
      <w:jc w:val="center"/>
    </w:pPr>
    <w:rPr>
      <w:rFonts w:ascii="Arial" w:hAnsi="Arial" w:cs="Arial" w:eastAsiaTheme="minorHAnsi"/>
      <w:b/>
      <w:bCs/>
      <w:sz w:val="32"/>
      <w:szCs w:val="24"/>
      <w:lang w:val="ru-RU"/>
    </w:rPr>
  </w:style>
  <w:style w:type="character" w:styleId="649" w:customStyle="1">
    <w:name w:val="Раздел НПА Знак"/>
    <w:link w:val="648"/>
    <w:pPr>
      <w:pBdr/>
      <w:spacing/>
      <w:ind/>
    </w:pPr>
    <w:rPr>
      <w:rFonts w:ascii="Arial" w:hAnsi="Arial" w:cs="Arial" w:eastAsiaTheme="minorHAnsi"/>
      <w:b/>
      <w:bCs/>
      <w:sz w:val="32"/>
      <w:szCs w:val="24"/>
      <w:lang w:val="ru-RU"/>
    </w:rPr>
  </w:style>
  <w:style w:type="paragraph" w:styleId="650" w:customStyle="1">
    <w:name w:val="Статья НПА"/>
    <w:link w:val="651"/>
    <w:qFormat/>
    <w:pPr>
      <w:pBdr/>
      <w:spacing w:line="360" w:lineRule="atLeast"/>
      <w:ind/>
      <w:jc w:val="both"/>
    </w:pPr>
    <w:rPr>
      <w:rFonts w:ascii="Arial" w:hAnsi="Arial" w:cs="Arial" w:eastAsiaTheme="minorHAnsi"/>
      <w:b/>
      <w:bCs/>
      <w:sz w:val="24"/>
      <w:szCs w:val="24"/>
      <w:lang w:val="ru-RU"/>
    </w:rPr>
  </w:style>
  <w:style w:type="character" w:styleId="651" w:customStyle="1">
    <w:name w:val="Статья НПА Знак"/>
    <w:link w:val="650"/>
    <w:pPr>
      <w:pBdr/>
      <w:spacing/>
      <w:ind/>
    </w:pPr>
    <w:rPr>
      <w:rFonts w:ascii="Arial" w:hAnsi="Arial" w:cs="Arial" w:eastAsiaTheme="minorHAnsi"/>
      <w:b/>
      <w:bCs/>
      <w:sz w:val="24"/>
      <w:szCs w:val="24"/>
      <w:lang w:val="ru-RU"/>
    </w:rPr>
  </w:style>
  <w:style w:type="paragraph" w:styleId="652" w:customStyle="1">
    <w:name w:val="Текст НПА"/>
    <w:link w:val="653"/>
    <w:qFormat/>
    <w:pPr>
      <w:pBdr/>
      <w:spacing w:line="360" w:lineRule="atLeast"/>
      <w:ind w:firstLine="709"/>
      <w:jc w:val="both"/>
    </w:pPr>
    <w:rPr>
      <w:rFonts w:ascii="Arial" w:hAnsi="Arial" w:cs="Arial" w:eastAsiaTheme="minorHAnsi"/>
      <w:bCs/>
      <w:sz w:val="24"/>
      <w:szCs w:val="24"/>
      <w:lang w:val="ru-RU"/>
    </w:rPr>
  </w:style>
  <w:style w:type="character" w:styleId="653" w:customStyle="1">
    <w:name w:val="Текст НПА Знак"/>
    <w:link w:val="652"/>
    <w:pPr>
      <w:pBdr/>
      <w:spacing/>
      <w:ind/>
    </w:pPr>
    <w:rPr>
      <w:rFonts w:ascii="Arial" w:hAnsi="Arial" w:cs="Arial" w:eastAsiaTheme="minorHAnsi"/>
      <w:bCs/>
      <w:sz w:val="24"/>
      <w:szCs w:val="24"/>
      <w:lang w:val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://rnla-service.scli.ru:8080/rnla-links/ws/content/act/96e20c02-1b12-465a-b64c-24aa92270007.html" TargetMode="External"/><Relationship Id="rId9" Type="http://schemas.openxmlformats.org/officeDocument/2006/relationships/hyperlink" Target="http://rnla-service.scli.ru:8080/rnla-links/ws/content/act/320f72f5-a9f0-42e6-838d-d969d6d1d1c2.html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onlyoffice/8.1.3.1</Application>
  <Company/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Аноним</cp:lastModifiedBy>
  <cp:revision>1</cp:revision>
  <dcterms:modified xsi:type="dcterms:W3CDTF">2025-03-13T08:41:21Z</dcterms:modified>
</cp:coreProperties>
</file>